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06C3A4AF">
                <wp:simplePos x="0" y="0"/>
                <wp:positionH relativeFrom="column">
                  <wp:posOffset>-233680</wp:posOffset>
                </wp:positionH>
                <wp:positionV relativeFrom="paragraph">
                  <wp:posOffset>122555</wp:posOffset>
                </wp:positionV>
                <wp:extent cx="6419850" cy="792480"/>
                <wp:effectExtent l="0" t="0" r="19050" b="762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792480"/>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F02AB4E" id="Round Diagonal Corner Rectangle 262" o:spid="_x0000_s1026" style="position:absolute;margin-left:-18.4pt;margin-top:9.65pt;width:505.5pt;height:62.4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7924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" path="m132083,l6419850,r,l6419850,660397v,72947,-59136,132083,-132083,132083l,792480r,l,132083c,59136,59136,,132083,xe" fillcolor="#1a601c" strokecolor="#385723" strokeweight="1pt">
                <v:stroke joinstyle="miter"/>
                <v:path arrowok="t" o:connecttype="custom" o:connectlocs="132083,0;6419850,0;6419850,0;6419850,660397;6287767,792480;0,792480;0,792480;0,132083;132083,0" o:connectangles="0,0,0,0,0,0,0,0,0"/>
              </v:shape>
            </w:pict>
          </mc:Fallback>
        </mc:AlternateContent>
      </w:r>
    </w:p>
    <w:p w14:paraId="642D43E6" w14:textId="77777777" w:rsidR="00D97AFF" w:rsidRPr="00D97AFF" w:rsidRDefault="00D97AFF" w:rsidP="00D97AFF">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D97AFF">
        <w:rPr>
          <w:rFonts w:ascii="Garamond" w:hAnsi="Garamond" w:cs="Times New Roman"/>
          <w:b/>
          <w:bCs/>
          <w:color w:val="FFFFFF" w:themeColor="background1"/>
          <w:sz w:val="32"/>
          <w:szCs w:val="32"/>
        </w:rPr>
        <w:t>Maternal Use of Traditional Eye Medicines in Children Attending Immunization Clinics in Onitsha, Nigeria: A Cross-Sectional Study</w:t>
      </w:r>
    </w:p>
    <w:p w14:paraId="62E2B138" w14:textId="77777777" w:rsidR="00135F12" w:rsidRDefault="00135F12" w:rsidP="002F78E4">
      <w:pPr>
        <w:pBdr>
          <w:bottom w:val="single" w:sz="6" w:space="1" w:color="auto"/>
        </w:pBdr>
        <w:jc w:val="both"/>
        <w:rPr>
          <w:rFonts w:ascii="Garamond" w:hAnsi="Garamond"/>
          <w:i/>
          <w:iCs/>
          <w:sz w:val="20"/>
          <w:szCs w:val="20"/>
          <w:vertAlign w:val="superscript"/>
        </w:rPr>
      </w:pPr>
      <w:bookmarkStart w:id="4" w:name="_Hlk209348096"/>
      <w:bookmarkEnd w:id="2"/>
      <w:bookmarkEnd w:id="3"/>
      <w:r w:rsidRPr="00F77828">
        <w:rPr>
          <w:rFonts w:ascii="Garamond" w:hAnsi="Garamond" w:cs="Times New Roman"/>
          <w:b/>
          <w:bCs/>
          <w:i/>
          <w:iCs/>
          <w:color w:val="FFFFFF" w:themeColor="background1"/>
          <w:sz w:val="22"/>
          <w:szCs w:val="22"/>
          <w:vertAlign w:val="superscript"/>
        </w:rPr>
        <w:t>1</w:t>
      </w:r>
      <w:r w:rsidRPr="00F77828">
        <w:rPr>
          <w:rFonts w:ascii="Garamond" w:hAnsi="Garamond" w:cs="Times New Roman"/>
          <w:b/>
          <w:bCs/>
          <w:i/>
          <w:iCs/>
          <w:color w:val="FFFFFF" w:themeColor="background1"/>
          <w:sz w:val="22"/>
          <w:szCs w:val="22"/>
        </w:rPr>
        <w:t xml:space="preserve">Adanma </w:t>
      </w:r>
      <w:proofErr w:type="spellStart"/>
      <w:r w:rsidRPr="00F77828">
        <w:rPr>
          <w:rFonts w:ascii="Garamond" w:hAnsi="Garamond" w:cs="Times New Roman"/>
          <w:b/>
          <w:bCs/>
          <w:i/>
          <w:iCs/>
          <w:color w:val="FFFFFF" w:themeColor="background1"/>
          <w:sz w:val="22"/>
          <w:szCs w:val="22"/>
        </w:rPr>
        <w:t>Chinyele</w:t>
      </w:r>
      <w:proofErr w:type="spellEnd"/>
      <w:r w:rsidRPr="00F77828">
        <w:rPr>
          <w:rFonts w:ascii="Garamond" w:hAnsi="Garamond" w:cs="Times New Roman"/>
          <w:b/>
          <w:bCs/>
          <w:i/>
          <w:iCs/>
          <w:color w:val="FFFFFF" w:themeColor="background1"/>
          <w:sz w:val="22"/>
          <w:szCs w:val="22"/>
        </w:rPr>
        <w:t xml:space="preserve"> Ezenwa, </w:t>
      </w:r>
      <w:r w:rsidRPr="00F77828">
        <w:rPr>
          <w:rFonts w:ascii="Garamond" w:hAnsi="Garamond" w:cs="Times New Roman"/>
          <w:b/>
          <w:bCs/>
          <w:i/>
          <w:iCs/>
          <w:color w:val="FFFFFF" w:themeColor="background1"/>
          <w:sz w:val="22"/>
          <w:szCs w:val="22"/>
          <w:vertAlign w:val="superscript"/>
        </w:rPr>
        <w:t>2</w:t>
      </w:r>
      <w:r w:rsidRPr="00F77828">
        <w:rPr>
          <w:rFonts w:ascii="Garamond" w:hAnsi="Garamond" w:cs="Times New Roman"/>
          <w:b/>
          <w:bCs/>
          <w:i/>
          <w:iCs/>
          <w:color w:val="FFFFFF" w:themeColor="background1"/>
          <w:sz w:val="22"/>
          <w:szCs w:val="22"/>
        </w:rPr>
        <w:t xml:space="preserve">Adaora </w:t>
      </w:r>
      <w:proofErr w:type="spellStart"/>
      <w:r w:rsidRPr="00F77828">
        <w:rPr>
          <w:rFonts w:ascii="Garamond" w:hAnsi="Garamond" w:cs="Times New Roman"/>
          <w:b/>
          <w:bCs/>
          <w:i/>
          <w:iCs/>
          <w:color w:val="FFFFFF" w:themeColor="background1"/>
          <w:sz w:val="22"/>
          <w:szCs w:val="22"/>
        </w:rPr>
        <w:t>Amaoge</w:t>
      </w:r>
      <w:proofErr w:type="spellEnd"/>
      <w:r w:rsidRPr="00F77828">
        <w:rPr>
          <w:rFonts w:ascii="Garamond" w:hAnsi="Garamond" w:cs="Times New Roman"/>
          <w:b/>
          <w:bCs/>
          <w:i/>
          <w:iCs/>
          <w:color w:val="FFFFFF" w:themeColor="background1"/>
          <w:sz w:val="22"/>
          <w:szCs w:val="22"/>
        </w:rPr>
        <w:t xml:space="preserve"> </w:t>
      </w:r>
      <w:proofErr w:type="spellStart"/>
      <w:r w:rsidRPr="00F77828">
        <w:rPr>
          <w:rFonts w:ascii="Garamond" w:hAnsi="Garamond" w:cs="Times New Roman"/>
          <w:b/>
          <w:bCs/>
          <w:i/>
          <w:iCs/>
          <w:color w:val="FFFFFF" w:themeColor="background1"/>
          <w:sz w:val="22"/>
          <w:szCs w:val="22"/>
        </w:rPr>
        <w:t>Onyiaorah</w:t>
      </w:r>
      <w:proofErr w:type="spellEnd"/>
      <w:r w:rsidRPr="00F77828">
        <w:rPr>
          <w:rFonts w:ascii="Garamond" w:hAnsi="Garamond" w:cs="Times New Roman"/>
          <w:b/>
          <w:bCs/>
          <w:i/>
          <w:iCs/>
          <w:color w:val="FFFFFF" w:themeColor="background1"/>
          <w:sz w:val="22"/>
          <w:szCs w:val="22"/>
        </w:rPr>
        <w:t xml:space="preserve">, </w:t>
      </w:r>
      <w:r w:rsidRPr="00F77828">
        <w:rPr>
          <w:rFonts w:ascii="Garamond" w:hAnsi="Garamond" w:cs="Times New Roman"/>
          <w:b/>
          <w:bCs/>
          <w:i/>
          <w:iCs/>
          <w:color w:val="FFFFFF" w:themeColor="background1"/>
          <w:sz w:val="22"/>
          <w:szCs w:val="22"/>
          <w:vertAlign w:val="superscript"/>
        </w:rPr>
        <w:t>3</w:t>
      </w:r>
      <w:r w:rsidRPr="00F77828">
        <w:rPr>
          <w:rFonts w:ascii="Garamond" w:hAnsi="Garamond" w:cs="Times New Roman"/>
          <w:b/>
          <w:bCs/>
          <w:i/>
          <w:iCs/>
          <w:color w:val="FFFFFF" w:themeColor="background1"/>
          <w:sz w:val="22"/>
          <w:szCs w:val="22"/>
        </w:rPr>
        <w:t xml:space="preserve">Nkiruka </w:t>
      </w:r>
      <w:proofErr w:type="spellStart"/>
      <w:r w:rsidRPr="00F77828">
        <w:rPr>
          <w:rFonts w:ascii="Garamond" w:hAnsi="Garamond" w:cs="Times New Roman"/>
          <w:b/>
          <w:bCs/>
          <w:i/>
          <w:iCs/>
          <w:color w:val="FFFFFF" w:themeColor="background1"/>
          <w:sz w:val="22"/>
          <w:szCs w:val="22"/>
        </w:rPr>
        <w:t>Nonyelum</w:t>
      </w:r>
      <w:proofErr w:type="spellEnd"/>
      <w:r w:rsidRPr="00F77828">
        <w:rPr>
          <w:rFonts w:ascii="Garamond" w:hAnsi="Garamond" w:cs="Times New Roman"/>
          <w:b/>
          <w:bCs/>
          <w:i/>
          <w:iCs/>
          <w:color w:val="FFFFFF" w:themeColor="background1"/>
          <w:sz w:val="22"/>
          <w:szCs w:val="22"/>
        </w:rPr>
        <w:t xml:space="preserve"> </w:t>
      </w:r>
      <w:proofErr w:type="spellStart"/>
      <w:r w:rsidRPr="00F77828">
        <w:rPr>
          <w:rFonts w:ascii="Garamond" w:hAnsi="Garamond" w:cs="Times New Roman"/>
          <w:b/>
          <w:bCs/>
          <w:i/>
          <w:iCs/>
          <w:color w:val="FFFFFF" w:themeColor="background1"/>
          <w:sz w:val="22"/>
          <w:szCs w:val="22"/>
        </w:rPr>
        <w:t>Okoloagu</w:t>
      </w:r>
      <w:proofErr w:type="spellEnd"/>
      <w:r w:rsidRPr="00F77828">
        <w:rPr>
          <w:rFonts w:ascii="Garamond" w:hAnsi="Garamond" w:cs="Times New Roman"/>
          <w:b/>
          <w:bCs/>
          <w:i/>
          <w:iCs/>
          <w:color w:val="FFFFFF" w:themeColor="background1"/>
          <w:sz w:val="22"/>
          <w:szCs w:val="22"/>
        </w:rPr>
        <w:t xml:space="preserve">, </w:t>
      </w:r>
      <w:r w:rsidRPr="00F77828">
        <w:rPr>
          <w:rFonts w:ascii="Garamond" w:hAnsi="Garamond" w:cs="Times New Roman"/>
          <w:b/>
          <w:bCs/>
          <w:i/>
          <w:iCs/>
          <w:color w:val="FFFFFF" w:themeColor="background1"/>
          <w:sz w:val="22"/>
          <w:szCs w:val="22"/>
          <w:vertAlign w:val="superscript"/>
        </w:rPr>
        <w:t>4</w:t>
      </w:r>
      <w:r w:rsidRPr="00F77828">
        <w:rPr>
          <w:rFonts w:ascii="Garamond" w:hAnsi="Garamond" w:cs="Times New Roman"/>
          <w:b/>
          <w:bCs/>
          <w:i/>
          <w:iCs/>
          <w:color w:val="FFFFFF" w:themeColor="background1"/>
          <w:sz w:val="22"/>
          <w:szCs w:val="22"/>
        </w:rPr>
        <w:t xml:space="preserve">Christiana Onyinye Ubaka, </w:t>
      </w:r>
      <w:r w:rsidRPr="00F77828">
        <w:rPr>
          <w:rFonts w:ascii="Garamond" w:hAnsi="Garamond" w:cs="Times New Roman"/>
          <w:b/>
          <w:bCs/>
          <w:i/>
          <w:iCs/>
          <w:color w:val="FFFFFF" w:themeColor="background1"/>
          <w:sz w:val="22"/>
          <w:szCs w:val="22"/>
          <w:vertAlign w:val="superscript"/>
        </w:rPr>
        <w:t>5</w:t>
      </w:r>
      <w:r w:rsidRPr="00F77828">
        <w:rPr>
          <w:rFonts w:ascii="Garamond" w:hAnsi="Garamond" w:cs="Times New Roman"/>
          <w:b/>
          <w:bCs/>
          <w:i/>
          <w:iCs/>
          <w:color w:val="FFFFFF" w:themeColor="background1"/>
          <w:sz w:val="22"/>
          <w:szCs w:val="22"/>
        </w:rPr>
        <w:t xml:space="preserve">Anthonia Chinyelu </w:t>
      </w:r>
      <w:proofErr w:type="spellStart"/>
      <w:r w:rsidRPr="00F77828">
        <w:rPr>
          <w:rFonts w:ascii="Garamond" w:hAnsi="Garamond" w:cs="Times New Roman"/>
          <w:b/>
          <w:bCs/>
          <w:i/>
          <w:iCs/>
          <w:color w:val="FFFFFF" w:themeColor="background1"/>
          <w:sz w:val="22"/>
          <w:szCs w:val="22"/>
        </w:rPr>
        <w:t>Udeaja</w:t>
      </w:r>
      <w:proofErr w:type="spellEnd"/>
      <w:r w:rsidRPr="002F78E4">
        <w:rPr>
          <w:rFonts w:ascii="Garamond" w:hAnsi="Garamond"/>
          <w:i/>
          <w:iCs/>
          <w:sz w:val="20"/>
          <w:szCs w:val="20"/>
          <w:vertAlign w:val="superscript"/>
        </w:rPr>
        <w:t xml:space="preserve"> </w:t>
      </w:r>
    </w:p>
    <w:p w14:paraId="7B326450" w14:textId="77777777" w:rsidR="00135F12" w:rsidRPr="00F77828" w:rsidRDefault="00135F12" w:rsidP="00135F12">
      <w:pPr>
        <w:rPr>
          <w:rFonts w:ascii="Garamond" w:hAnsi="Garamond"/>
          <w:i/>
          <w:iCs/>
          <w:sz w:val="20"/>
          <w:szCs w:val="20"/>
        </w:rPr>
      </w:pPr>
      <w:r w:rsidRPr="00F77828">
        <w:rPr>
          <w:rFonts w:ascii="Garamond" w:hAnsi="Garamond"/>
          <w:i/>
          <w:iCs/>
          <w:sz w:val="20"/>
          <w:szCs w:val="20"/>
          <w:vertAlign w:val="superscript"/>
        </w:rPr>
        <w:t>1</w:t>
      </w:r>
      <w:r w:rsidRPr="00F77828">
        <w:rPr>
          <w:rFonts w:ascii="Garamond" w:hAnsi="Garamond"/>
          <w:i/>
          <w:iCs/>
          <w:sz w:val="20"/>
          <w:szCs w:val="20"/>
        </w:rPr>
        <w:t xml:space="preserve">Department of Ophthalmology, Nnamdi Azikiwe University </w:t>
      </w:r>
      <w:proofErr w:type="spellStart"/>
      <w:r w:rsidRPr="00F77828">
        <w:rPr>
          <w:rFonts w:ascii="Garamond" w:hAnsi="Garamond"/>
          <w:i/>
          <w:iCs/>
          <w:sz w:val="20"/>
          <w:szCs w:val="20"/>
        </w:rPr>
        <w:t>Awka</w:t>
      </w:r>
      <w:proofErr w:type="spellEnd"/>
      <w:r w:rsidRPr="00F77828">
        <w:rPr>
          <w:rFonts w:ascii="Garamond" w:hAnsi="Garamond"/>
          <w:i/>
          <w:iCs/>
          <w:sz w:val="20"/>
          <w:szCs w:val="20"/>
        </w:rPr>
        <w:t xml:space="preserve">, Anambra State, Nigeria. </w:t>
      </w:r>
    </w:p>
    <w:p w14:paraId="573F4221" w14:textId="77777777" w:rsidR="00135F12" w:rsidRPr="00F77828" w:rsidRDefault="00135F12" w:rsidP="00135F12">
      <w:pPr>
        <w:rPr>
          <w:rFonts w:ascii="Garamond" w:hAnsi="Garamond"/>
          <w:i/>
          <w:iCs/>
          <w:sz w:val="20"/>
          <w:szCs w:val="20"/>
        </w:rPr>
      </w:pPr>
      <w:r w:rsidRPr="00F77828">
        <w:rPr>
          <w:rFonts w:ascii="Garamond" w:hAnsi="Garamond"/>
          <w:i/>
          <w:iCs/>
          <w:sz w:val="20"/>
          <w:szCs w:val="20"/>
          <w:vertAlign w:val="superscript"/>
        </w:rPr>
        <w:t>2</w:t>
      </w:r>
      <w:r w:rsidRPr="00F77828">
        <w:rPr>
          <w:rFonts w:ascii="Garamond" w:hAnsi="Garamond"/>
          <w:i/>
          <w:iCs/>
          <w:sz w:val="20"/>
          <w:szCs w:val="20"/>
        </w:rPr>
        <w:t xml:space="preserve">Department of Ophthalmology, Nnamdi Azikiwe University </w:t>
      </w:r>
      <w:proofErr w:type="spellStart"/>
      <w:r w:rsidRPr="00F77828">
        <w:rPr>
          <w:rFonts w:ascii="Garamond" w:hAnsi="Garamond"/>
          <w:i/>
          <w:iCs/>
          <w:sz w:val="20"/>
          <w:szCs w:val="20"/>
        </w:rPr>
        <w:t>Awka</w:t>
      </w:r>
      <w:proofErr w:type="spellEnd"/>
      <w:r w:rsidRPr="00F77828">
        <w:rPr>
          <w:rFonts w:ascii="Garamond" w:hAnsi="Garamond"/>
          <w:i/>
          <w:iCs/>
          <w:sz w:val="20"/>
          <w:szCs w:val="20"/>
        </w:rPr>
        <w:t xml:space="preserve">, Anambra State, Nigeria  </w:t>
      </w:r>
    </w:p>
    <w:p w14:paraId="30D8C993" w14:textId="77777777" w:rsidR="00135F12" w:rsidRPr="00F77828" w:rsidRDefault="00135F12" w:rsidP="00135F12">
      <w:pPr>
        <w:rPr>
          <w:rFonts w:ascii="Garamond" w:hAnsi="Garamond"/>
          <w:i/>
          <w:iCs/>
          <w:sz w:val="20"/>
          <w:szCs w:val="20"/>
        </w:rPr>
      </w:pPr>
      <w:r w:rsidRPr="00F77828">
        <w:rPr>
          <w:rFonts w:ascii="Garamond" w:hAnsi="Garamond"/>
          <w:i/>
          <w:iCs/>
          <w:sz w:val="20"/>
          <w:szCs w:val="20"/>
          <w:vertAlign w:val="superscript"/>
        </w:rPr>
        <w:t>3</w:t>
      </w:r>
      <w:r w:rsidRPr="00F77828">
        <w:rPr>
          <w:rFonts w:ascii="Garamond" w:hAnsi="Garamond"/>
          <w:i/>
          <w:iCs/>
          <w:sz w:val="20"/>
          <w:szCs w:val="20"/>
        </w:rPr>
        <w:t>Department of Ophthalmology, Enugu State University Enugu, Nigeria</w:t>
      </w:r>
    </w:p>
    <w:p w14:paraId="07B9E13A" w14:textId="77777777" w:rsidR="00135F12" w:rsidRPr="00F77828" w:rsidRDefault="00135F12" w:rsidP="00135F12">
      <w:pPr>
        <w:rPr>
          <w:rFonts w:ascii="Garamond" w:hAnsi="Garamond"/>
          <w:i/>
          <w:iCs/>
          <w:sz w:val="20"/>
          <w:szCs w:val="20"/>
        </w:rPr>
      </w:pPr>
      <w:r w:rsidRPr="00F77828">
        <w:rPr>
          <w:rFonts w:ascii="Garamond" w:hAnsi="Garamond"/>
          <w:i/>
          <w:iCs/>
          <w:sz w:val="20"/>
          <w:szCs w:val="20"/>
          <w:vertAlign w:val="superscript"/>
        </w:rPr>
        <w:t>4</w:t>
      </w:r>
      <w:r w:rsidRPr="00F77828">
        <w:rPr>
          <w:rFonts w:ascii="Garamond" w:hAnsi="Garamond"/>
          <w:i/>
          <w:iCs/>
          <w:sz w:val="20"/>
          <w:szCs w:val="20"/>
        </w:rPr>
        <w:t xml:space="preserve">St Joseph’s Eye Hospital </w:t>
      </w:r>
      <w:proofErr w:type="spellStart"/>
      <w:r w:rsidRPr="00F77828">
        <w:rPr>
          <w:rFonts w:ascii="Garamond" w:hAnsi="Garamond"/>
          <w:i/>
          <w:iCs/>
          <w:sz w:val="20"/>
          <w:szCs w:val="20"/>
        </w:rPr>
        <w:t>Mgbirichi</w:t>
      </w:r>
      <w:proofErr w:type="spellEnd"/>
      <w:r w:rsidRPr="00F77828">
        <w:rPr>
          <w:rFonts w:ascii="Garamond" w:hAnsi="Garamond"/>
          <w:i/>
          <w:iCs/>
          <w:sz w:val="20"/>
          <w:szCs w:val="20"/>
        </w:rPr>
        <w:t xml:space="preserve">, Imo State, Nigeria </w:t>
      </w:r>
    </w:p>
    <w:p w14:paraId="5B942685" w14:textId="010212DD" w:rsidR="002265FA" w:rsidRPr="00F20CA0" w:rsidRDefault="00135F12" w:rsidP="00135F12">
      <w:pPr>
        <w:pBdr>
          <w:bottom w:val="single" w:sz="6" w:space="1" w:color="auto"/>
        </w:pBdr>
        <w:jc w:val="both"/>
        <w:rPr>
          <w:rFonts w:ascii="Garamond" w:hAnsi="Garamond"/>
          <w:bCs/>
          <w:i/>
          <w:iCs/>
          <w:sz w:val="20"/>
          <w:szCs w:val="20"/>
        </w:rPr>
      </w:pPr>
      <w:r w:rsidRPr="00F77828">
        <w:rPr>
          <w:rFonts w:ascii="Garamond" w:hAnsi="Garamond"/>
          <w:i/>
          <w:iCs/>
          <w:sz w:val="20"/>
          <w:szCs w:val="20"/>
          <w:vertAlign w:val="superscript"/>
        </w:rPr>
        <w:t>5</w:t>
      </w:r>
      <w:r w:rsidRPr="00F77828">
        <w:rPr>
          <w:rFonts w:ascii="Garamond" w:hAnsi="Garamond"/>
          <w:i/>
          <w:iCs/>
          <w:sz w:val="20"/>
          <w:szCs w:val="20"/>
        </w:rPr>
        <w:t xml:space="preserve">Department of Ophthalmology, </w:t>
      </w:r>
      <w:proofErr w:type="spellStart"/>
      <w:r w:rsidRPr="00F77828">
        <w:rPr>
          <w:rFonts w:ascii="Garamond" w:hAnsi="Garamond"/>
          <w:i/>
          <w:iCs/>
          <w:sz w:val="20"/>
          <w:szCs w:val="20"/>
        </w:rPr>
        <w:t>Chukwumeka</w:t>
      </w:r>
      <w:proofErr w:type="spellEnd"/>
      <w:r w:rsidRPr="00F77828">
        <w:rPr>
          <w:rFonts w:ascii="Garamond" w:hAnsi="Garamond"/>
          <w:i/>
          <w:iCs/>
          <w:sz w:val="20"/>
          <w:szCs w:val="20"/>
        </w:rPr>
        <w:t xml:space="preserve"> </w:t>
      </w:r>
      <w:proofErr w:type="spellStart"/>
      <w:r w:rsidRPr="00F77828">
        <w:rPr>
          <w:rFonts w:ascii="Garamond" w:hAnsi="Garamond"/>
          <w:i/>
          <w:iCs/>
          <w:sz w:val="20"/>
          <w:szCs w:val="20"/>
        </w:rPr>
        <w:t>Odumegwu</w:t>
      </w:r>
      <w:proofErr w:type="spellEnd"/>
      <w:r w:rsidRPr="00F77828">
        <w:rPr>
          <w:rFonts w:ascii="Garamond" w:hAnsi="Garamond"/>
          <w:i/>
          <w:iCs/>
          <w:sz w:val="20"/>
          <w:szCs w:val="20"/>
        </w:rPr>
        <w:t xml:space="preserve"> Ojukwu, University, </w:t>
      </w:r>
      <w:proofErr w:type="spellStart"/>
      <w:r w:rsidRPr="00F77828">
        <w:rPr>
          <w:rFonts w:ascii="Garamond" w:hAnsi="Garamond"/>
          <w:i/>
          <w:iCs/>
          <w:sz w:val="20"/>
          <w:szCs w:val="20"/>
        </w:rPr>
        <w:t>Awka</w:t>
      </w:r>
      <w:proofErr w:type="spellEnd"/>
      <w:r w:rsidRPr="00F77828">
        <w:rPr>
          <w:rFonts w:ascii="Garamond" w:hAnsi="Garamond"/>
          <w:i/>
          <w:iCs/>
          <w:sz w:val="20"/>
          <w:szCs w:val="20"/>
        </w:rPr>
        <w:t xml:space="preserve"> Campus, </w:t>
      </w:r>
      <w:proofErr w:type="spellStart"/>
      <w:r w:rsidRPr="00F77828">
        <w:rPr>
          <w:rFonts w:ascii="Garamond" w:hAnsi="Garamond"/>
          <w:i/>
          <w:iCs/>
          <w:sz w:val="20"/>
          <w:szCs w:val="20"/>
        </w:rPr>
        <w:t>Awka</w:t>
      </w:r>
      <w:proofErr w:type="spellEnd"/>
      <w:r w:rsidRPr="00F77828">
        <w:rPr>
          <w:rFonts w:ascii="Garamond" w:hAnsi="Garamond"/>
          <w:i/>
          <w:iCs/>
          <w:sz w:val="20"/>
          <w:szCs w:val="20"/>
        </w:rPr>
        <w:t xml:space="preserve"> Anambra State, Nigeria</w:t>
      </w:r>
    </w:p>
    <w:bookmarkEnd w:id="4"/>
    <w:p w14:paraId="5E9F2312" w14:textId="432896C2" w:rsidR="002F78E4" w:rsidRDefault="001D4D3C" w:rsidP="00855308">
      <w:pPr>
        <w:pBdr>
          <w:bottom w:val="single" w:sz="6" w:space="1" w:color="auto"/>
        </w:pBdr>
        <w:jc w:val="both"/>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2F78E4" w:rsidRPr="002F78E4">
        <w:rPr>
          <w:rFonts w:ascii="Garamond" w:hAnsi="Garamond" w:cs="Segoe UI"/>
          <w:b/>
          <w:bCs/>
          <w:sz w:val="20"/>
          <w:szCs w:val="20"/>
          <w:shd w:val="clear" w:color="auto" w:fill="FFFFFF"/>
        </w:rPr>
        <w:t xml:space="preserve">Adaora A </w:t>
      </w:r>
      <w:proofErr w:type="spellStart"/>
      <w:r w:rsidR="002F78E4" w:rsidRPr="002F78E4">
        <w:rPr>
          <w:rFonts w:ascii="Garamond" w:hAnsi="Garamond" w:cs="Segoe UI"/>
          <w:b/>
          <w:bCs/>
          <w:sz w:val="20"/>
          <w:szCs w:val="20"/>
          <w:shd w:val="clear" w:color="auto" w:fill="FFFFFF"/>
        </w:rPr>
        <w:t>Onyiaorah</w:t>
      </w:r>
      <w:proofErr w:type="spellEnd"/>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2F78E4" w:rsidRPr="002F78E4">
        <w:rPr>
          <w:rFonts w:ascii="Garamond" w:hAnsi="Garamond"/>
          <w:bCs/>
          <w:sz w:val="20"/>
          <w:szCs w:val="20"/>
        </w:rPr>
        <w:t>Department of Ophthalmology, Nnamdi Azikiwe University Nnewi Campus, Anambra State Nigeria</w:t>
      </w:r>
      <w:r w:rsidR="002F78E4">
        <w:rPr>
          <w:rFonts w:ascii="Garamond" w:hAnsi="Garamond"/>
          <w:bCs/>
          <w:sz w:val="20"/>
          <w:szCs w:val="20"/>
        </w:rPr>
        <w:t xml:space="preserve">. </w:t>
      </w:r>
      <w:hyperlink r:id="rId8" w:history="1">
        <w:r w:rsidR="002F78E4" w:rsidRPr="002F78E4">
          <w:rPr>
            <w:rStyle w:val="Hyperlink"/>
            <w:rFonts w:ascii="Garamond" w:hAnsi="Garamond"/>
            <w:bCs/>
            <w:sz w:val="20"/>
            <w:szCs w:val="20"/>
          </w:rPr>
          <w:t>simplyadah@yahoo.com</w:t>
        </w:r>
      </w:hyperlink>
      <w:r w:rsidR="002F78E4">
        <w:rPr>
          <w:rFonts w:ascii="Garamond" w:hAnsi="Garamond"/>
          <w:bCs/>
          <w:sz w:val="20"/>
          <w:szCs w:val="20"/>
        </w:rPr>
        <w:t>: +234</w:t>
      </w:r>
      <w:r w:rsidR="002F78E4" w:rsidRPr="002F78E4">
        <w:rPr>
          <w:rFonts w:ascii="Garamond" w:hAnsi="Garamond"/>
          <w:bCs/>
          <w:sz w:val="20"/>
          <w:szCs w:val="20"/>
        </w:rPr>
        <w:t>8058488130</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04484D90"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2F78E4">
        <w:rPr>
          <w:rFonts w:ascii="Garamond" w:hAnsi="Garamond"/>
          <w:sz w:val="16"/>
          <w:szCs w:val="16"/>
        </w:rPr>
        <w:t>02</w:t>
      </w:r>
      <w:r w:rsidR="00943E61" w:rsidRPr="00F30FAF">
        <w:rPr>
          <w:rFonts w:ascii="Garamond" w:hAnsi="Garamond"/>
          <w:sz w:val="16"/>
          <w:szCs w:val="16"/>
        </w:rPr>
        <w:t xml:space="preserve"> </w:t>
      </w:r>
      <w:r w:rsidR="002F78E4">
        <w:rPr>
          <w:rFonts w:ascii="Garamond" w:hAnsi="Garamond"/>
          <w:sz w:val="16"/>
          <w:szCs w:val="16"/>
        </w:rPr>
        <w:t>February</w:t>
      </w:r>
      <w:r w:rsidR="00943E61" w:rsidRPr="00F30FAF">
        <w:rPr>
          <w:rFonts w:ascii="Garamond" w:hAnsi="Garamond"/>
          <w:sz w:val="16"/>
          <w:szCs w:val="16"/>
        </w:rPr>
        <w:t xml:space="preserve"> 202</w:t>
      </w:r>
      <w:r w:rsidR="002F78E4">
        <w:rPr>
          <w:rFonts w:ascii="Garamond" w:hAnsi="Garamond"/>
          <w:sz w:val="16"/>
          <w:szCs w:val="16"/>
        </w:rPr>
        <w:t>6</w:t>
      </w:r>
      <w:r w:rsidR="00943E61" w:rsidRPr="00F30FAF">
        <w:rPr>
          <w:rFonts w:ascii="Garamond" w:hAnsi="Garamond"/>
          <w:sz w:val="16"/>
          <w:szCs w:val="16"/>
        </w:rPr>
        <w:t xml:space="preserve">, Reviewed </w:t>
      </w:r>
      <w:r w:rsidR="002F78E4">
        <w:rPr>
          <w:rFonts w:ascii="Garamond" w:hAnsi="Garamond"/>
          <w:sz w:val="16"/>
          <w:szCs w:val="16"/>
        </w:rPr>
        <w:t>14</w:t>
      </w:r>
      <w:r w:rsidR="00943E61" w:rsidRPr="00F30FAF">
        <w:rPr>
          <w:rFonts w:ascii="Garamond" w:hAnsi="Garamond"/>
          <w:sz w:val="16"/>
          <w:szCs w:val="16"/>
        </w:rPr>
        <w:t xml:space="preserve"> </w:t>
      </w:r>
      <w:r w:rsidR="002F78E4">
        <w:rPr>
          <w:rFonts w:ascii="Garamond" w:hAnsi="Garamond"/>
          <w:sz w:val="16"/>
          <w:szCs w:val="16"/>
        </w:rPr>
        <w:t xml:space="preserve">February </w:t>
      </w:r>
      <w:r w:rsidR="00943E61" w:rsidRPr="00F30FAF">
        <w:rPr>
          <w:rFonts w:ascii="Garamond" w:hAnsi="Garamond"/>
          <w:sz w:val="16"/>
          <w:szCs w:val="16"/>
        </w:rPr>
        <w:t>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2E3587">
        <w:rPr>
          <w:rFonts w:ascii="Garamond" w:hAnsi="Garamond"/>
          <w:sz w:val="16"/>
          <w:szCs w:val="16"/>
        </w:rPr>
        <w:t>17</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2075F11C" w:rsidR="006732D7" w:rsidRPr="000931E7" w:rsidRDefault="00254073" w:rsidP="006732D7">
      <w:pPr>
        <w:jc w:val="both"/>
        <w:rPr>
          <w:rFonts w:ascii="Garamond" w:hAnsi="Garamond"/>
          <w:sz w:val="22"/>
          <w:szCs w:val="22"/>
        </w:rPr>
      </w:pPr>
      <w:r w:rsidRPr="000931E7">
        <w:rPr>
          <w:rFonts w:ascii="Garamond" w:hAnsi="Garamond"/>
          <w:b/>
          <w:sz w:val="22"/>
          <w:szCs w:val="20"/>
        </w:rPr>
        <w:t>ABSTRACT</w:t>
      </w:r>
    </w:p>
    <w:p w14:paraId="6078F89B" w14:textId="16844552" w:rsidR="00D97AFF" w:rsidRPr="00D97AFF" w:rsidRDefault="0017507F" w:rsidP="00D97AFF">
      <w:pPr>
        <w:jc w:val="both"/>
        <w:rPr>
          <w:rFonts w:ascii="Garamond" w:eastAsiaTheme="minorHAnsi" w:hAnsi="Garamond" w:cstheme="minorHAnsi"/>
          <w:bCs/>
          <w:sz w:val="20"/>
          <w:szCs w:val="20"/>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D97AFF" w:rsidRPr="00D97AFF">
        <w:rPr>
          <w:rFonts w:ascii="Garamond" w:eastAsiaTheme="minorHAnsi" w:hAnsi="Garamond" w:cstheme="minorHAnsi"/>
          <w:b/>
          <w:bCs/>
          <w:sz w:val="20"/>
          <w:szCs w:val="20"/>
        </w:rPr>
        <w:t xml:space="preserve"> </w:t>
      </w:r>
      <w:r w:rsidR="00D97AFF" w:rsidRPr="00D97AFF">
        <w:rPr>
          <w:rFonts w:ascii="Garamond" w:eastAsiaTheme="minorHAnsi" w:hAnsi="Garamond" w:cstheme="minorHAnsi"/>
          <w:bCs/>
          <w:sz w:val="20"/>
          <w:szCs w:val="20"/>
        </w:rPr>
        <w:t>Mothers have significant roles in children’s health. A mother’s eye-care choices may significantly influence her child’s ocular health outcomes. Traditional Eye Medicines (TEM) are unorthodox medications administered for desired ocular therapeutic effect. The objective of this study was to determine the prevalence and factors associated with TEM use among mothers attending immunization clinics in Onitsha, Nigeria</w:t>
      </w:r>
    </w:p>
    <w:p w14:paraId="1BE64C5F" w14:textId="77777777" w:rsidR="00D97AFF" w:rsidRPr="00D97AFF" w:rsidRDefault="00D97AFF" w:rsidP="00D97AFF">
      <w:pPr>
        <w:jc w:val="both"/>
        <w:rPr>
          <w:rFonts w:ascii="Garamond" w:eastAsiaTheme="minorHAnsi" w:hAnsi="Garamond" w:cstheme="minorHAnsi"/>
          <w:bCs/>
          <w:sz w:val="20"/>
          <w:szCs w:val="20"/>
        </w:rPr>
      </w:pPr>
      <w:r w:rsidRPr="00D97AFF">
        <w:rPr>
          <w:rFonts w:ascii="Garamond" w:eastAsiaTheme="minorHAnsi" w:hAnsi="Garamond" w:cstheme="minorHAnsi"/>
          <w:b/>
          <w:bCs/>
          <w:sz w:val="20"/>
          <w:szCs w:val="20"/>
        </w:rPr>
        <w:t xml:space="preserve">Methodology: </w:t>
      </w:r>
      <w:r w:rsidRPr="00D97AFF">
        <w:rPr>
          <w:rFonts w:ascii="Garamond" w:eastAsiaTheme="minorHAnsi" w:hAnsi="Garamond" w:cstheme="minorHAnsi"/>
          <w:bCs/>
          <w:sz w:val="20"/>
          <w:szCs w:val="20"/>
        </w:rPr>
        <w:t xml:space="preserve">A descriptive cross-sectional study of 320 mothers attending immunization clinics at two secondary health centers in Onitsha from April-May 2025, selected by multistage sampling. Information on socio-demographics and TEM use was obtained using a structured interviewer-administered questionnaire. Data was </w:t>
      </w:r>
      <w:proofErr w:type="spellStart"/>
      <w:r w:rsidRPr="00D97AFF">
        <w:rPr>
          <w:rFonts w:ascii="Garamond" w:eastAsiaTheme="minorHAnsi" w:hAnsi="Garamond" w:cstheme="minorHAnsi"/>
          <w:bCs/>
          <w:sz w:val="20"/>
          <w:szCs w:val="20"/>
        </w:rPr>
        <w:t>analysed</w:t>
      </w:r>
      <w:proofErr w:type="spellEnd"/>
      <w:r w:rsidRPr="00D97AFF">
        <w:rPr>
          <w:rFonts w:ascii="Garamond" w:eastAsiaTheme="minorHAnsi" w:hAnsi="Garamond" w:cstheme="minorHAnsi"/>
          <w:bCs/>
          <w:sz w:val="20"/>
          <w:szCs w:val="20"/>
        </w:rPr>
        <w:t xml:space="preserve"> and presented using frequency tables. Logistic regression was used to identify factors associated with TEM use with significance at &lt;0.05. </w:t>
      </w:r>
    </w:p>
    <w:p w14:paraId="6D0C87DD" w14:textId="77777777" w:rsidR="00D97AFF" w:rsidRPr="00D97AFF" w:rsidRDefault="00D97AFF" w:rsidP="00D97AFF">
      <w:pPr>
        <w:jc w:val="both"/>
        <w:rPr>
          <w:rFonts w:ascii="Garamond" w:eastAsiaTheme="minorHAnsi" w:hAnsi="Garamond" w:cstheme="minorHAnsi"/>
          <w:b/>
          <w:bCs/>
          <w:sz w:val="20"/>
          <w:szCs w:val="20"/>
        </w:rPr>
      </w:pPr>
      <w:r w:rsidRPr="00D97AFF">
        <w:rPr>
          <w:rFonts w:ascii="Garamond" w:eastAsiaTheme="minorHAnsi" w:hAnsi="Garamond" w:cstheme="minorHAnsi"/>
          <w:b/>
          <w:bCs/>
          <w:sz w:val="20"/>
          <w:szCs w:val="20"/>
        </w:rPr>
        <w:t xml:space="preserve">Results: </w:t>
      </w:r>
      <w:r w:rsidRPr="00D97AFF">
        <w:rPr>
          <w:rFonts w:ascii="Garamond" w:eastAsiaTheme="minorHAnsi" w:hAnsi="Garamond" w:cstheme="minorHAnsi"/>
          <w:bCs/>
          <w:sz w:val="20"/>
          <w:szCs w:val="20"/>
        </w:rPr>
        <w:t>Response rate was 90.8%. A total of 320 mothers with a mean age of 29.8 ± 5.3 years were studied. Participants’ children were aged between 1 week and 676 weeks with a median age of 12 weeks. The prevalence of TEM use was 43.4% (139/320) (95%CI: 0.379-0.491). Among the 320 participants, breast milk 84(26.3%) and local antimony granules (</w:t>
      </w:r>
      <w:proofErr w:type="spellStart"/>
      <w:r w:rsidRPr="00D97AFF">
        <w:rPr>
          <w:rFonts w:ascii="Garamond" w:eastAsiaTheme="minorHAnsi" w:hAnsi="Garamond" w:cstheme="minorHAnsi"/>
          <w:bCs/>
          <w:sz w:val="20"/>
          <w:szCs w:val="20"/>
        </w:rPr>
        <w:t>otangele</w:t>
      </w:r>
      <w:proofErr w:type="spellEnd"/>
      <w:r w:rsidRPr="00D97AFF">
        <w:rPr>
          <w:rFonts w:ascii="Garamond" w:eastAsiaTheme="minorHAnsi" w:hAnsi="Garamond" w:cstheme="minorHAnsi"/>
          <w:bCs/>
          <w:sz w:val="20"/>
          <w:szCs w:val="20"/>
        </w:rPr>
        <w:t>) 81 (25.3%) were the most commonly used TEM. The most common indication for use of TEM was eye discharge, 48 (34.5%). TEM use was associated with lower educational attainment (AOR =</w:t>
      </w:r>
      <w:r w:rsidRPr="00D97AFF">
        <w:rPr>
          <w:rFonts w:ascii="Garamond" w:eastAsiaTheme="minorHAnsi" w:hAnsi="Garamond" w:cstheme="minorHAnsi"/>
          <w:bCs/>
          <w:sz w:val="20"/>
          <w:szCs w:val="20"/>
          <w:lang w:val="en-GB"/>
        </w:rPr>
        <w:t>2.276, 95% CI =1.397 -3.707, p = 0.01)</w:t>
      </w:r>
      <w:r w:rsidRPr="00D97AFF">
        <w:rPr>
          <w:rFonts w:ascii="Garamond" w:eastAsiaTheme="minorHAnsi" w:hAnsi="Garamond" w:cstheme="minorHAnsi"/>
          <w:bCs/>
          <w:sz w:val="20"/>
          <w:szCs w:val="20"/>
        </w:rPr>
        <w:t xml:space="preserve">. </w:t>
      </w:r>
    </w:p>
    <w:p w14:paraId="14C521B3" w14:textId="77777777" w:rsidR="00D97AFF" w:rsidRPr="00D97AFF" w:rsidRDefault="00D97AFF" w:rsidP="00D97AFF">
      <w:pPr>
        <w:jc w:val="both"/>
        <w:rPr>
          <w:rFonts w:ascii="Garamond" w:eastAsiaTheme="minorHAnsi" w:hAnsi="Garamond" w:cstheme="minorHAnsi"/>
          <w:bCs/>
          <w:sz w:val="20"/>
          <w:szCs w:val="20"/>
        </w:rPr>
      </w:pPr>
      <w:r w:rsidRPr="00D97AFF">
        <w:rPr>
          <w:rFonts w:ascii="Garamond" w:eastAsiaTheme="minorHAnsi" w:hAnsi="Garamond" w:cstheme="minorHAnsi"/>
          <w:b/>
          <w:bCs/>
          <w:sz w:val="20"/>
          <w:szCs w:val="20"/>
        </w:rPr>
        <w:t>Conclusion:</w:t>
      </w:r>
      <w:r w:rsidRPr="00D97AFF">
        <w:rPr>
          <w:rFonts w:ascii="Garamond" w:eastAsiaTheme="minorHAnsi" w:hAnsi="Garamond" w:cstheme="minorHAnsi"/>
          <w:bCs/>
          <w:sz w:val="20"/>
          <w:szCs w:val="20"/>
        </w:rPr>
        <w:t xml:space="preserve"> The results show that 43.4% of the mothers used TEM. Integration of eye health education into immunization program with sensitization of mothers on the dangers of TEM use on children is recommended.</w:t>
      </w:r>
    </w:p>
    <w:p w14:paraId="79924C37" w14:textId="77777777" w:rsidR="00D97AFF" w:rsidRDefault="00D97AFF" w:rsidP="00D97AFF">
      <w:pPr>
        <w:jc w:val="both"/>
        <w:rPr>
          <w:rFonts w:ascii="Garamond" w:eastAsiaTheme="minorHAnsi" w:hAnsi="Garamond" w:cstheme="minorHAnsi"/>
          <w:b/>
          <w:bCs/>
          <w:sz w:val="20"/>
          <w:szCs w:val="20"/>
        </w:rPr>
      </w:pPr>
    </w:p>
    <w:p w14:paraId="173ABDBA" w14:textId="7C82D5FC" w:rsidR="006732D7" w:rsidRPr="00D97AFF" w:rsidRDefault="00D97AFF" w:rsidP="006732D7">
      <w:pPr>
        <w:jc w:val="both"/>
        <w:rPr>
          <w:rFonts w:ascii="Garamond" w:eastAsiaTheme="minorHAnsi" w:hAnsi="Garamond" w:cstheme="minorHAnsi"/>
          <w:sz w:val="20"/>
          <w:szCs w:val="20"/>
        </w:rPr>
        <w:sectPr w:rsidR="006732D7" w:rsidRPr="00D97AFF" w:rsidSect="00254073">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383"/>
          <w:cols w:space="720"/>
          <w:docGrid w:linePitch="326"/>
        </w:sectPr>
      </w:pPr>
      <w:r w:rsidRPr="00D97AFF">
        <w:rPr>
          <w:rFonts w:ascii="Garamond" w:eastAsiaTheme="minorHAnsi" w:hAnsi="Garamond" w:cstheme="minorHAnsi"/>
          <w:b/>
          <w:bCs/>
          <w:sz w:val="20"/>
          <w:szCs w:val="20"/>
        </w:rPr>
        <w:t xml:space="preserve">Key words: </w:t>
      </w:r>
      <w:r w:rsidRPr="00D97AFF">
        <w:rPr>
          <w:rFonts w:ascii="Garamond" w:eastAsiaTheme="minorHAnsi" w:hAnsi="Garamond" w:cstheme="minorHAnsi"/>
          <w:sz w:val="20"/>
          <w:szCs w:val="20"/>
        </w:rPr>
        <w:t>Traditional eye medicine, Children, Mother, Immunization clinic.</w:t>
      </w: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2A2EC4C0"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21D38EE5">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001989C5">
                <wp:simplePos x="0" y="0"/>
                <wp:positionH relativeFrom="margin">
                  <wp:posOffset>3254829</wp:posOffset>
                </wp:positionH>
                <wp:positionV relativeFrom="paragraph">
                  <wp:posOffset>28666</wp:posOffset>
                </wp:positionV>
                <wp:extent cx="2671639" cy="1153885"/>
                <wp:effectExtent l="0" t="0" r="8255" b="14605"/>
                <wp:wrapNone/>
                <wp:docPr id="8" name="Text Box 8"/>
                <wp:cNvGraphicFramePr/>
                <a:graphic xmlns:a="http://schemas.openxmlformats.org/drawingml/2006/main">
                  <a:graphicData uri="http://schemas.microsoft.com/office/word/2010/wordprocessingShape">
                    <wps:wsp>
                      <wps:cNvSpPr txBox="1"/>
                      <wps:spPr>
                        <a:xfrm>
                          <a:off x="0" y="0"/>
                          <a:ext cx="2671639" cy="1153885"/>
                        </a:xfrm>
                        <a:prstGeom prst="rect">
                          <a:avLst/>
                        </a:prstGeom>
                        <a:solidFill>
                          <a:sysClr val="window" lastClr="FFFFFF"/>
                        </a:solidFill>
                        <a:ln w="6350">
                          <a:solidFill>
                            <a:srgbClr val="70AD47">
                              <a:lumMod val="75000"/>
                            </a:srgbClr>
                          </a:solidFill>
                        </a:ln>
                      </wps:spPr>
                      <wps:txbx>
                        <w:txbxContent>
                          <w:p w14:paraId="65562D4D" w14:textId="183F944B" w:rsidR="00576722" w:rsidRPr="00F65837" w:rsidRDefault="00135F12" w:rsidP="00254073">
                            <w:pPr>
                              <w:pBdr>
                                <w:bottom w:val="single" w:sz="6" w:space="1" w:color="auto"/>
                              </w:pBdr>
                              <w:rPr>
                                <w:rFonts w:ascii="Garamond" w:hAnsi="Garamond" w:cs="Segoe UI"/>
                                <w:sz w:val="20"/>
                                <w:szCs w:val="20"/>
                                <w:shd w:val="clear" w:color="auto" w:fill="FFFFFF"/>
                              </w:rPr>
                            </w:pPr>
                            <w:r w:rsidRPr="00F77828">
                              <w:rPr>
                                <w:rFonts w:ascii="Garamond" w:hAnsi="Garamond"/>
                                <w:i/>
                                <w:iCs/>
                                <w:sz w:val="20"/>
                                <w:szCs w:val="20"/>
                              </w:rPr>
                              <w:t xml:space="preserve">Ezenwa AC, </w:t>
                            </w:r>
                            <w:proofErr w:type="spellStart"/>
                            <w:r w:rsidRPr="00F77828">
                              <w:rPr>
                                <w:rFonts w:ascii="Garamond" w:hAnsi="Garamond"/>
                                <w:i/>
                                <w:iCs/>
                                <w:sz w:val="20"/>
                                <w:szCs w:val="20"/>
                              </w:rPr>
                              <w:t>Onyiaorah</w:t>
                            </w:r>
                            <w:proofErr w:type="spellEnd"/>
                            <w:r w:rsidRPr="00F77828">
                              <w:rPr>
                                <w:rFonts w:ascii="Garamond" w:hAnsi="Garamond"/>
                                <w:i/>
                                <w:iCs/>
                                <w:sz w:val="20"/>
                                <w:szCs w:val="20"/>
                              </w:rPr>
                              <w:t xml:space="preserve"> AA, </w:t>
                            </w:r>
                            <w:proofErr w:type="spellStart"/>
                            <w:r w:rsidRPr="00F77828">
                              <w:rPr>
                                <w:rFonts w:ascii="Garamond" w:hAnsi="Garamond"/>
                                <w:i/>
                                <w:iCs/>
                                <w:sz w:val="20"/>
                                <w:szCs w:val="20"/>
                              </w:rPr>
                              <w:t>Okolagu</w:t>
                            </w:r>
                            <w:proofErr w:type="spellEnd"/>
                            <w:r w:rsidRPr="00F77828">
                              <w:rPr>
                                <w:rFonts w:ascii="Garamond" w:hAnsi="Garamond"/>
                                <w:i/>
                                <w:iCs/>
                                <w:sz w:val="20"/>
                                <w:szCs w:val="20"/>
                              </w:rPr>
                              <w:t xml:space="preserve"> NN, Ubaka CO, </w:t>
                            </w:r>
                            <w:proofErr w:type="spellStart"/>
                            <w:r w:rsidRPr="00F77828">
                              <w:rPr>
                                <w:rFonts w:ascii="Garamond" w:hAnsi="Garamond"/>
                                <w:i/>
                                <w:iCs/>
                                <w:sz w:val="20"/>
                                <w:szCs w:val="20"/>
                              </w:rPr>
                              <w:t>Udeaja</w:t>
                            </w:r>
                            <w:proofErr w:type="spellEnd"/>
                            <w:r w:rsidRPr="00F77828">
                              <w:rPr>
                                <w:rFonts w:ascii="Garamond" w:hAnsi="Garamond"/>
                                <w:i/>
                                <w:iCs/>
                                <w:sz w:val="20"/>
                                <w:szCs w:val="20"/>
                              </w:rPr>
                              <w:t xml:space="preserve"> AC. </w:t>
                            </w:r>
                            <w:r w:rsidR="00F65837" w:rsidRPr="00F65837">
                              <w:rPr>
                                <w:rFonts w:ascii="Garamond" w:hAnsi="Garamond" w:cs="Segoe UI"/>
                                <w:i/>
                                <w:iCs/>
                                <w:sz w:val="20"/>
                                <w:szCs w:val="20"/>
                                <w:shd w:val="clear" w:color="auto" w:fill="FFFFFF"/>
                              </w:rPr>
                              <w:t xml:space="preserve"> </w:t>
                            </w:r>
                            <w:r w:rsidR="00D97AFF" w:rsidRPr="00F65837">
                              <w:rPr>
                                <w:rFonts w:ascii="Garamond" w:hAnsi="Garamond" w:cs="Segoe UI"/>
                                <w:sz w:val="20"/>
                                <w:szCs w:val="20"/>
                                <w:shd w:val="clear" w:color="auto" w:fill="FFFFFF"/>
                              </w:rPr>
                              <w:t xml:space="preserve">Maternal Use of Traditional Eye Medicines in Children Attending Immunization Clinics in Onitsha, Nigeria: A Cross-Sectional Study. </w:t>
                            </w:r>
                            <w:r w:rsidR="00576722" w:rsidRPr="00F65837">
                              <w:rPr>
                                <w:rFonts w:ascii="Garamond" w:hAnsi="Garamond" w:cs="Segoe UI"/>
                                <w:color w:val="000000" w:themeColor="text1"/>
                                <w:sz w:val="20"/>
                                <w:szCs w:val="20"/>
                                <w:shd w:val="clear" w:color="auto" w:fill="FFFFFF"/>
                              </w:rPr>
                              <w:t>The Nigerian Health Journal 202</w:t>
                            </w:r>
                            <w:r w:rsidR="00347612" w:rsidRPr="00F65837">
                              <w:rPr>
                                <w:rFonts w:ascii="Garamond" w:hAnsi="Garamond" w:cs="Segoe UI"/>
                                <w:color w:val="000000" w:themeColor="text1"/>
                                <w:sz w:val="20"/>
                                <w:szCs w:val="20"/>
                                <w:shd w:val="clear" w:color="auto" w:fill="FFFFFF"/>
                              </w:rPr>
                              <w:t>6</w:t>
                            </w:r>
                            <w:r w:rsidR="00576722" w:rsidRPr="00F65837">
                              <w:rPr>
                                <w:rFonts w:ascii="Garamond" w:hAnsi="Garamond" w:cs="Segoe UI"/>
                                <w:color w:val="000000" w:themeColor="text1"/>
                                <w:sz w:val="20"/>
                                <w:szCs w:val="20"/>
                                <w:shd w:val="clear" w:color="auto" w:fill="FFFFFF"/>
                              </w:rPr>
                              <w:t>; 2</w:t>
                            </w:r>
                            <w:r w:rsidR="00347612" w:rsidRPr="00F65837">
                              <w:rPr>
                                <w:rFonts w:ascii="Garamond" w:hAnsi="Garamond" w:cs="Segoe UI"/>
                                <w:color w:val="000000" w:themeColor="text1"/>
                                <w:sz w:val="20"/>
                                <w:szCs w:val="20"/>
                                <w:shd w:val="clear" w:color="auto" w:fill="FFFFFF"/>
                              </w:rPr>
                              <w:t>6</w:t>
                            </w:r>
                            <w:r w:rsidR="00576722" w:rsidRPr="00F65837">
                              <w:rPr>
                                <w:rFonts w:ascii="Garamond" w:hAnsi="Garamond" w:cs="Segoe UI"/>
                                <w:color w:val="000000" w:themeColor="text1"/>
                                <w:sz w:val="20"/>
                                <w:szCs w:val="20"/>
                                <w:shd w:val="clear" w:color="auto" w:fill="FFFFFF"/>
                              </w:rPr>
                              <w:t>(</w:t>
                            </w:r>
                            <w:r w:rsidR="00347612" w:rsidRPr="00F65837">
                              <w:rPr>
                                <w:rFonts w:ascii="Garamond" w:hAnsi="Garamond" w:cs="Segoe UI"/>
                                <w:color w:val="000000" w:themeColor="text1"/>
                                <w:sz w:val="20"/>
                                <w:szCs w:val="20"/>
                                <w:shd w:val="clear" w:color="auto" w:fill="FFFFFF"/>
                              </w:rPr>
                              <w:t>1</w:t>
                            </w:r>
                            <w:r w:rsidR="00576722" w:rsidRPr="00F65837">
                              <w:rPr>
                                <w:rFonts w:ascii="Garamond" w:hAnsi="Garamond" w:cs="Segoe UI"/>
                                <w:color w:val="000000" w:themeColor="text1"/>
                                <w:sz w:val="20"/>
                                <w:szCs w:val="20"/>
                                <w:shd w:val="clear" w:color="auto" w:fill="FFFFFF"/>
                              </w:rPr>
                              <w:t>)</w:t>
                            </w:r>
                            <w:r w:rsidR="00254073">
                              <w:rPr>
                                <w:rFonts w:ascii="Garamond" w:hAnsi="Garamond" w:cs="Segoe UI"/>
                                <w:color w:val="000000" w:themeColor="text1"/>
                                <w:sz w:val="20"/>
                                <w:szCs w:val="20"/>
                                <w:shd w:val="clear" w:color="auto" w:fill="FFFFFF"/>
                              </w:rPr>
                              <w:t xml:space="preserve">:383 – 391. </w:t>
                            </w:r>
                            <w:hyperlink r:id="rId22" w:history="1">
                              <w:r w:rsidR="00254073" w:rsidRPr="008D4B15">
                                <w:rPr>
                                  <w:rStyle w:val="Hyperlink"/>
                                  <w:rFonts w:ascii="Garamond" w:hAnsi="Garamond" w:cs="Arial"/>
                                  <w:sz w:val="20"/>
                                  <w:szCs w:val="20"/>
                                </w:rPr>
                                <w:t>https://doi.org/10.71637/tnhj.v26i1.1325</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25pt;width:210.35pt;height:90.8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" fillcolor="window" strokecolor="#548235" strokeweight=".5pt">
                <v:textbox>
                  <w:txbxContent>
                    <w:p w14:paraId="65562D4D" w14:textId="183F944B" w:rsidR="00576722" w:rsidRPr="00F65837" w:rsidRDefault="00135F12" w:rsidP="00254073">
                      <w:pPr>
                        <w:pBdr>
                          <w:bottom w:val="single" w:sz="6" w:space="1" w:color="auto"/>
                        </w:pBdr>
                        <w:rPr>
                          <w:rFonts w:ascii="Garamond" w:hAnsi="Garamond" w:cs="Segoe UI"/>
                          <w:sz w:val="20"/>
                          <w:szCs w:val="20"/>
                          <w:shd w:val="clear" w:color="auto" w:fill="FFFFFF"/>
                        </w:rPr>
                      </w:pPr>
                      <w:r w:rsidRPr="00F77828">
                        <w:rPr>
                          <w:rFonts w:ascii="Garamond" w:hAnsi="Garamond"/>
                          <w:i/>
                          <w:iCs/>
                          <w:sz w:val="20"/>
                          <w:szCs w:val="20"/>
                        </w:rPr>
                        <w:t xml:space="preserve">Ezenwa AC, </w:t>
                      </w:r>
                      <w:proofErr w:type="spellStart"/>
                      <w:r w:rsidRPr="00F77828">
                        <w:rPr>
                          <w:rFonts w:ascii="Garamond" w:hAnsi="Garamond"/>
                          <w:i/>
                          <w:iCs/>
                          <w:sz w:val="20"/>
                          <w:szCs w:val="20"/>
                        </w:rPr>
                        <w:t>Onyiaorah</w:t>
                      </w:r>
                      <w:proofErr w:type="spellEnd"/>
                      <w:r w:rsidRPr="00F77828">
                        <w:rPr>
                          <w:rFonts w:ascii="Garamond" w:hAnsi="Garamond"/>
                          <w:i/>
                          <w:iCs/>
                          <w:sz w:val="20"/>
                          <w:szCs w:val="20"/>
                        </w:rPr>
                        <w:t xml:space="preserve"> AA, </w:t>
                      </w:r>
                      <w:proofErr w:type="spellStart"/>
                      <w:r w:rsidRPr="00F77828">
                        <w:rPr>
                          <w:rFonts w:ascii="Garamond" w:hAnsi="Garamond"/>
                          <w:i/>
                          <w:iCs/>
                          <w:sz w:val="20"/>
                          <w:szCs w:val="20"/>
                        </w:rPr>
                        <w:t>Okolagu</w:t>
                      </w:r>
                      <w:proofErr w:type="spellEnd"/>
                      <w:r w:rsidRPr="00F77828">
                        <w:rPr>
                          <w:rFonts w:ascii="Garamond" w:hAnsi="Garamond"/>
                          <w:i/>
                          <w:iCs/>
                          <w:sz w:val="20"/>
                          <w:szCs w:val="20"/>
                        </w:rPr>
                        <w:t xml:space="preserve"> NN, Ubaka CO, </w:t>
                      </w:r>
                      <w:proofErr w:type="spellStart"/>
                      <w:r w:rsidRPr="00F77828">
                        <w:rPr>
                          <w:rFonts w:ascii="Garamond" w:hAnsi="Garamond"/>
                          <w:i/>
                          <w:iCs/>
                          <w:sz w:val="20"/>
                          <w:szCs w:val="20"/>
                        </w:rPr>
                        <w:t>Udeaja</w:t>
                      </w:r>
                      <w:proofErr w:type="spellEnd"/>
                      <w:r w:rsidRPr="00F77828">
                        <w:rPr>
                          <w:rFonts w:ascii="Garamond" w:hAnsi="Garamond"/>
                          <w:i/>
                          <w:iCs/>
                          <w:sz w:val="20"/>
                          <w:szCs w:val="20"/>
                        </w:rPr>
                        <w:t xml:space="preserve"> AC. </w:t>
                      </w:r>
                      <w:r w:rsidR="00F65837" w:rsidRPr="00F65837">
                        <w:rPr>
                          <w:rFonts w:ascii="Garamond" w:hAnsi="Garamond" w:cs="Segoe UI"/>
                          <w:i/>
                          <w:iCs/>
                          <w:sz w:val="20"/>
                          <w:szCs w:val="20"/>
                          <w:shd w:val="clear" w:color="auto" w:fill="FFFFFF"/>
                        </w:rPr>
                        <w:t xml:space="preserve"> </w:t>
                      </w:r>
                      <w:r w:rsidR="00D97AFF" w:rsidRPr="00F65837">
                        <w:rPr>
                          <w:rFonts w:ascii="Garamond" w:hAnsi="Garamond" w:cs="Segoe UI"/>
                          <w:sz w:val="20"/>
                          <w:szCs w:val="20"/>
                          <w:shd w:val="clear" w:color="auto" w:fill="FFFFFF"/>
                        </w:rPr>
                        <w:t xml:space="preserve">Maternal Use of Traditional Eye Medicines in Children Attending Immunization Clinics in Onitsha, Nigeria: A Cross-Sectional Study. </w:t>
                      </w:r>
                      <w:r w:rsidR="00576722" w:rsidRPr="00F65837">
                        <w:rPr>
                          <w:rFonts w:ascii="Garamond" w:hAnsi="Garamond" w:cs="Segoe UI"/>
                          <w:color w:val="000000" w:themeColor="text1"/>
                          <w:sz w:val="20"/>
                          <w:szCs w:val="20"/>
                          <w:shd w:val="clear" w:color="auto" w:fill="FFFFFF"/>
                        </w:rPr>
                        <w:t>The Nigerian Health Journal 202</w:t>
                      </w:r>
                      <w:r w:rsidR="00347612" w:rsidRPr="00F65837">
                        <w:rPr>
                          <w:rFonts w:ascii="Garamond" w:hAnsi="Garamond" w:cs="Segoe UI"/>
                          <w:color w:val="000000" w:themeColor="text1"/>
                          <w:sz w:val="20"/>
                          <w:szCs w:val="20"/>
                          <w:shd w:val="clear" w:color="auto" w:fill="FFFFFF"/>
                        </w:rPr>
                        <w:t>6</w:t>
                      </w:r>
                      <w:r w:rsidR="00576722" w:rsidRPr="00F65837">
                        <w:rPr>
                          <w:rFonts w:ascii="Garamond" w:hAnsi="Garamond" w:cs="Segoe UI"/>
                          <w:color w:val="000000" w:themeColor="text1"/>
                          <w:sz w:val="20"/>
                          <w:szCs w:val="20"/>
                          <w:shd w:val="clear" w:color="auto" w:fill="FFFFFF"/>
                        </w:rPr>
                        <w:t>; 2</w:t>
                      </w:r>
                      <w:r w:rsidR="00347612" w:rsidRPr="00F65837">
                        <w:rPr>
                          <w:rFonts w:ascii="Garamond" w:hAnsi="Garamond" w:cs="Segoe UI"/>
                          <w:color w:val="000000" w:themeColor="text1"/>
                          <w:sz w:val="20"/>
                          <w:szCs w:val="20"/>
                          <w:shd w:val="clear" w:color="auto" w:fill="FFFFFF"/>
                        </w:rPr>
                        <w:t>6</w:t>
                      </w:r>
                      <w:r w:rsidR="00576722" w:rsidRPr="00F65837">
                        <w:rPr>
                          <w:rFonts w:ascii="Garamond" w:hAnsi="Garamond" w:cs="Segoe UI"/>
                          <w:color w:val="000000" w:themeColor="text1"/>
                          <w:sz w:val="20"/>
                          <w:szCs w:val="20"/>
                          <w:shd w:val="clear" w:color="auto" w:fill="FFFFFF"/>
                        </w:rPr>
                        <w:t>(</w:t>
                      </w:r>
                      <w:r w:rsidR="00347612" w:rsidRPr="00F65837">
                        <w:rPr>
                          <w:rFonts w:ascii="Garamond" w:hAnsi="Garamond" w:cs="Segoe UI"/>
                          <w:color w:val="000000" w:themeColor="text1"/>
                          <w:sz w:val="20"/>
                          <w:szCs w:val="20"/>
                          <w:shd w:val="clear" w:color="auto" w:fill="FFFFFF"/>
                        </w:rPr>
                        <w:t>1</w:t>
                      </w:r>
                      <w:r w:rsidR="00576722" w:rsidRPr="00F65837">
                        <w:rPr>
                          <w:rFonts w:ascii="Garamond" w:hAnsi="Garamond" w:cs="Segoe UI"/>
                          <w:color w:val="000000" w:themeColor="text1"/>
                          <w:sz w:val="20"/>
                          <w:szCs w:val="20"/>
                          <w:shd w:val="clear" w:color="auto" w:fill="FFFFFF"/>
                        </w:rPr>
                        <w:t>)</w:t>
                      </w:r>
                      <w:r w:rsidR="00254073">
                        <w:rPr>
                          <w:rFonts w:ascii="Garamond" w:hAnsi="Garamond" w:cs="Segoe UI"/>
                          <w:color w:val="000000" w:themeColor="text1"/>
                          <w:sz w:val="20"/>
                          <w:szCs w:val="20"/>
                          <w:shd w:val="clear" w:color="auto" w:fill="FFFFFF"/>
                        </w:rPr>
                        <w:t xml:space="preserve">:383 – 391. </w:t>
                      </w:r>
                      <w:hyperlink r:id="rId23" w:history="1">
                        <w:r w:rsidR="00254073" w:rsidRPr="008D4B15">
                          <w:rPr>
                            <w:rStyle w:val="Hyperlink"/>
                            <w:rFonts w:ascii="Garamond" w:hAnsi="Garamond" w:cs="Arial"/>
                            <w:sz w:val="20"/>
                            <w:szCs w:val="20"/>
                          </w:rPr>
                          <w:t>https://doi.org/10.71637/tnhj.v26i1.1325</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10B38EAF" w:rsidR="000720E5" w:rsidRDefault="00691BD8"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7EBE8E1B" w14:textId="53758FC9"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The eyes are very important for many aspects of a child’s development. It plays a key role in motor skills, learning, social interactions, psychological and general wellbeing. Maintenance of good eye health in children is important to ensure optimal child development and benefits for the child, family, and society.</w:t>
      </w:r>
    </w:p>
    <w:p w14:paraId="02428989" w14:textId="601A0568" w:rsid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Eye medicines are instilled for eye problems with the expectation of therapeutic effect. Traditional eye medicine (TEM) refers to biologically based or inorganic therapies that can be administered to obtain the desired ocular therapeutic effect</w:t>
      </w:r>
      <w:r w:rsidRPr="00950924">
        <w:rPr>
          <w:rFonts w:ascii="Garamond" w:hAnsi="Garamond"/>
          <w:bCs/>
          <w:iCs/>
          <w:sz w:val="20"/>
          <w:szCs w:val="20"/>
          <w:vertAlign w:val="superscript"/>
        </w:rPr>
        <w:t>1</w:t>
      </w:r>
      <w:r w:rsidRPr="00950924">
        <w:rPr>
          <w:rFonts w:ascii="Garamond" w:hAnsi="Garamond"/>
          <w:bCs/>
          <w:iCs/>
          <w:sz w:val="20"/>
          <w:szCs w:val="20"/>
        </w:rPr>
        <w:t xml:space="preserve"> They could be formulated as solution, powder, gels or solids. They are mostly unorthodox medicines whose pharmacological ingredients and therapeutic efficacy are not scientifically established. Their use frequently stems from knowledge and practices, based on past experiences, handed down through generations.</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{"citationItems":[{"id":"ITEM-1","itemData":{"DOI":"10.1177/22799036241243267","ISSN":"22799036","PMID":"38577243","abstract":"Background: Traditional eye medicine (TEM) is becoming more widely used across the world. Depending on the drugs used, TEM usage can be considered harmful or innocuous. The therapy may induce infection or irreparable blindness in the already injured eye. The aim of the study was to determine the proportion of traditional eye medicine practices and associated factors among adult ophthalmic patients attending ophthalmic clinics in the governmental hospitals in the West Bank. Design and methods: A cross-sectional study conducted on 300 patients. The data was collected using a structured, self-administered questionnaire. Results: The results of the study revealed that 65.7% of people use TEM. The most common symptoms that necessitated the use of traditional eye practice were inflammatory symptoms of the eye (49.2%), blurred vision (15.7%), and allergic conjunctivitis (10.7%). The most common TEM used was tea (34.0%), followed by herbal products (25.4%) and vegetable slices (potato, cucumber, and onion) (14.7%). The most traditional eye treatment was the topical route (92.9%). The majority of prescribers of traditional eye practice were traditional healers (48.7%). Furthermore, the current study found that occupation and the income were predictors of using traditional eye practice among ophthalmic patients attending ophthalmic clinics in selected West Bank hospitals. Conclusion: The proportion of traditional eye medicine practice was high among ophthalmic patients in the West Bank. The predictors of using traditional eye treatment were occupation and the income. The most common TEM used was tea, followed by herbal products and vegetable slices (potato, cucumber, and onion).","author":[{"dropping-particle":"","family":"Atawi","given":"Raghda","non-dropping-particle":"","parse-names":false,"suffix":""},{"dropping-particle":"","family":"Ayed","given":"Ahmad","non-dropping-particle":"","parse-names":false,"suffix":""},{"dropping-particle":"","family":"Batran","given":"Ahmad","non-dropping-particle":"","parse-names":false,"suffix":""}],"container-title":"Journal of Public Health Research","id":"ITEM-1","issue":"2","issued":{"date-parts":[["2024","4","1"]]},"page":"22799036241243267","publisher":"SAGE Publications Ltd","title":"Traditional eye medicine practice and its determinant factors among ophthalmic patients in the West Bank","type":"article-journal","volume":"13"},"uris":["http://www.mendeley.com/documents/?uuid=8a4fed3b-f2a6-3689-9474-54fc85c0e645"]}],"mendeley":{"formattedCitation":"&lt;sup&gt;[1]&lt;/sup&gt;","plainTextFormattedCitation":"[1]","previouslyFormattedCitation":"&lt;sup&gt;[1]&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[1]</w:t>
      </w:r>
      <w:r w:rsidRPr="00950924">
        <w:rPr>
          <w:rFonts w:ascii="Garamond" w:hAnsi="Garamond"/>
          <w:bCs/>
          <w:iCs/>
          <w:sz w:val="20"/>
          <w:szCs w:val="20"/>
        </w:rPr>
        <w:fldChar w:fldCharType="end"/>
      </w:r>
      <w:r w:rsidRPr="00950924">
        <w:rPr>
          <w:rFonts w:ascii="Garamond" w:hAnsi="Garamond"/>
          <w:bCs/>
          <w:iCs/>
          <w:sz w:val="20"/>
          <w:szCs w:val="20"/>
        </w:rPr>
        <w:t xml:space="preserve"> They are used by many, especially in developing countries as first care for eye conditions even before orthodox eye care which is frequently driven by factors such as ease of access, affordability, ignorance, </w:t>
      </w:r>
      <w:r w:rsidRPr="00950924">
        <w:rPr>
          <w:rFonts w:ascii="Garamond" w:hAnsi="Garamond"/>
          <w:bCs/>
          <w:iCs/>
          <w:sz w:val="20"/>
          <w:szCs w:val="20"/>
          <w:lang w:val="en-GB"/>
        </w:rPr>
        <w:t>low socioeconomic status, rural residence, cultural beliefs, poor access to orthodox eye care, lack of satisfaction with orthodox care</w:t>
      </w:r>
      <w:r w:rsidRPr="00950924">
        <w:rPr>
          <w:rFonts w:ascii="Garamond" w:hAnsi="Garamond"/>
          <w:bCs/>
          <w:iCs/>
          <w:sz w:val="20"/>
          <w:szCs w:val="20"/>
        </w:rPr>
        <w:t xml:space="preserve">  and other factors.</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{"citationItems":[{"id":"ITEM-1","itemData":{"DOI":"10.25259/GJCSRO_29_2023","ISSN":"2835-4974","abstract":"Background/Aim: The use of traditional eye medication (TEM) is an age-long practice whose negative effects on eye health have been well documented. TEM involves the application of different harmful preparations to the eye as a form of treatment. This article is aimed at highlighting the burden of harmful traditional practices on eye care in Nigeria. Methodology: A review of available literature was conducted to summarize the different types of harmful traditional eye practices in Nigeria, including the many different preparations used. Prevalence of harmful traditional practices, determinants, burden in Nigeria. Issues relating to determinants, prevalence, indications for TEM use, presentation of patients with a history of TEM use, ocular complications following TEM use, the pathway to blindness with TEM use, economic burden, and prevention were considered in the review. The prevalence of TEM use was 15.5%, and the common determinants included low socioeconomic status, rural residence, poor access to conventional eye care, and cultural beliefs. The indications for the use of these medications included blurring of vision, red eyes, ocular pain, and itching. Patients who used TEMs presented with various levels of visual impairment (14.5% and 13.1%, respectively, for moderate and severe visual impairment), and 51.3% were reported blind at presentation. The common complications of these agents were corneal scars (opacities), staphylomas, endophthalmitis and panophthalmitis, corneal ulcers and perforations, uveitis, band and bullous keratopathies, complicated cataracts, subluxated lens, and descemetoceles. Conclusion: The prevalence of TEM use, visual impairment, and blindness arising from it is high in Nigeria. The ocular morbidities that follow TEM use constitute a significant burden (economic and otherwise) on eye care delivery in the country. A multipronged approach by stakeholders is required to mitigate the enablers of TEM practice in Nigeria. Furthermore, where there are complications, prompt referral to an ophthalmologist is advocated as they are well-equipped to provide the most appropriate management.","author":[{"dropping-particle":"","family":"Nathaniel","given":"Godswill Inye","non-dropping-particle":"","parse-names":false,"suffix":""},{"dropping-particle":"","family":"Eze","given":"Ugochukwu Anthony","non-dropping-particle":"","parse-names":false,"suffix":""}],"container-title":"Global Journal of Cataract Surgery and Research in Ophthalmology","id":"ITEM-1","issue":"1","issued":{"date-parts":[["2024","5","30"]]},"page":"34-42","publisher":"Scientific Scholar","title":"Harmful traditional eye practices in Nigeria and its burden on eye care: A review of literature","type":"article-journal","volume":"3"},"uris":["http://www.mendeley.com/documents/?uuid=fb37b92d-6a45-3d80-af48-9799c0c77737"]}],"mendeley":{"formattedCitation":"&lt;sup&gt;[2]&lt;/sup&gt;","plainTextFormattedCitation":"[2]","previouslyFormattedCitation":"&lt;sup&gt;[2]&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[2]</w:t>
      </w:r>
      <w:r w:rsidRPr="00950924">
        <w:rPr>
          <w:rFonts w:ascii="Garamond" w:hAnsi="Garamond"/>
          <w:bCs/>
          <w:iCs/>
          <w:sz w:val="20"/>
          <w:szCs w:val="20"/>
        </w:rPr>
        <w:fldChar w:fldCharType="end"/>
      </w:r>
      <w:r w:rsidRPr="00950924">
        <w:rPr>
          <w:rFonts w:ascii="Garamond" w:hAnsi="Garamond"/>
          <w:bCs/>
          <w:iCs/>
          <w:sz w:val="20"/>
          <w:szCs w:val="20"/>
          <w:vertAlign w:val="superscript"/>
        </w:rPr>
        <w:t>,</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{"citationItems":[{"id":"ITEM-1","itemData":{"DOI":"10.1080/27707571.2022.2160581","abstract":"Traditional eye medicine is widely practiced around the world. It is employed by the order of traditional healers or local physicians who are well-known for knowing and practicing the most common t...","author":[{"dropping-particle":"","family":"Eticha","given":"Biruk Lelisa","non-dropping-particle":"","parse-names":false,"suffix":""},{"dropping-particle":"","family":"Assaye","given":"Aragaw Kegne","non-dropping-particle":"","parse-names":false,"suffix":""},{"dropping-particle":"","family":"Alemu","given":"Haile Woretaw","non-dropping-particle":"","parse-names":false,"suffix":""}],"container-title":"Cogent Public Health","id":"ITEM-1","issue":"1","issued":{"date-parts":[["2023","12","31"]]},"publisher":"Cogent","title":"Prevalence of traditional eye medicine use and its associated factors among adult ophthalmic patients in Gondar region of Ethiopia in 2020","type":"article-journal","volume":"10"},"uris":["http://www.mendeley.com/documents/?uuid=0cb2e760-6bbd-3f2b-9728-c13a53226a74"]}],"mendeley":{"formattedCitation":"&lt;sup&gt;[3]&lt;/sup&gt;","plainTextFormattedCitation":"[3]","previouslyFormattedCitation":"&lt;sup&gt;[3]&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[3]</w:t>
      </w:r>
      <w:r w:rsidRPr="00950924">
        <w:rPr>
          <w:rFonts w:ascii="Garamond" w:hAnsi="Garamond"/>
          <w:bCs/>
          <w:iCs/>
          <w:sz w:val="20"/>
          <w:szCs w:val="20"/>
        </w:rPr>
        <w:fldChar w:fldCharType="end"/>
      </w:r>
      <w:r w:rsidRPr="00950924">
        <w:rPr>
          <w:rFonts w:ascii="Garamond" w:hAnsi="Garamond"/>
          <w:bCs/>
          <w:iCs/>
          <w:sz w:val="20"/>
          <w:szCs w:val="20"/>
          <w:vertAlign w:val="superscript"/>
        </w:rPr>
        <w:t xml:space="preserve">  </w:t>
      </w:r>
      <w:r w:rsidRPr="00950924">
        <w:rPr>
          <w:rFonts w:ascii="Garamond" w:hAnsi="Garamond"/>
          <w:bCs/>
          <w:iCs/>
          <w:sz w:val="20"/>
          <w:szCs w:val="20"/>
        </w:rPr>
        <w:t>Some commonly used TEM are breast milk, herbal extracts, honey, soil, human urine and saliva, milk, plant extracts and oils, animal excreta, kerosene and other petroleum products, holy water, seawater, dry gin, powdered charcoal.</w:t>
      </w:r>
      <w:r w:rsidRPr="00950924">
        <w:rPr>
          <w:rFonts w:ascii="Garamond" w:hAnsi="Garamond"/>
          <w:bCs/>
          <w:iCs/>
          <w:sz w:val="20"/>
          <w:szCs w:val="20"/>
        </w:rPr>
        <w:fldChar w:fldCharType="begin" w:fldLock="1"/>
      </w:r>
      <w:r w:rsidRPr="00950924">
        <w:rPr>
          <w:rFonts w:ascii="Garamond" w:hAnsi="Garamond"/>
          <w:bCs/>
          <w:iCs/>
          <w:sz w:val="20"/>
          <w:szCs w:val="20"/>
        </w:rPr>
        <w:instrText>ADDIN CSL_CITATION {"citationItems":[{"id":"ITEM-1","itemData":{"DOI":"10.1177/22799036241243267","ISSN":"22799036","PMID":"38577243","abstract":"Background: Traditional eye medicine (TEM) is becoming more widely used across the world. Depending on the drugs used, TEM usage can be considered harmful or innocuous. The therapy may induce infection or irreparable blindness in the already injured eye. The aim of the study was to determine the proportion of traditional eye medicine practices and associated factors among adult ophthalmic patients attending ophthalmic clinics in the governmental hospitals in the West Bank. Design and methods: A cross-sectional study conducted on 300 patients. The data was collected using a structured, self-administered questionnaire. Results: The results of the study revealed that 65.7% of people use TEM. The most common symptoms that necessitated the use of traditional eye practice were inflammatory symptoms of the eye (49.2%), blurred vision (15.7%), and allergic conjunctivitis (10.7%). The most common TEM used was tea (34.0%), followed by herbal products (25.4%) and vegetable slices (potato, cucumber, and onion) (14.7%). The most traditional eye treatment was the topical route (92.9%). The majority of prescribers of traditional eye practice were traditional healers (48.7%). Furthermore, the current study found that occupation and the income were predictors of using traditional eye practice among ophthalmic patients attending ophthalmic clinics in selected West Bank hospitals. Conclusion: The proportion of traditional eye medicine practice was high among ophthalmic patients in the West Bank. The predictors of using traditional eye treatment were occupation and the income. The most common TEM used was tea, followed by herbal products and vegetable slices (potato, cucumber, and onion).","author":[{"dropping-particle":"","family":"Atawi","given":"Raghda","non-dropping-particle":"","parse-names":false,"suffix":""},{"dropping-particle":"","family":"Ayed","given":"Ahmad","non-dropping-particle":"","parse-names":false,"suffix":""},{"dropping-particle":"","family":"Batran","given":"Ahmad","non-dropping-particle":"","parse-names":false,"suffix":""}],"container-title":"Journal of Public Health Research","id":"ITEM-1","issue":"2","issued":{"date-parts":[["2024","4","1"]]},"page":"22799036241243267","publisher":"SAGE Publications Ltd","title":"Traditional eye medicine practice and its determinant factors among ophthalmic patients in the West Bank","type":"article-journal","volume":"13"},"uris":["http://www.mendeley.com/documents/?uuid=8a4fed3b-f2a6-3689-9474-54fc85c0e645"]},{"id":"ITEM-2","itemData":{"ISSN":"2276-6944","PMID":"28856124","abstract":"BACKGROUND The use of traditional eye medication is still practised in some communities in Nigeria. AIM To assess the determinants of the use of traditional eye medication (TEM) by adults in Ekiadolor community. METHOD A descriptive cross-sectional study on the determinants of the use of traditional eye medication among adults was done between the months of September and November 2011 in Ekiadolor community in Edo state, Nigeria. RESULTS Out of the 430 participants in this study, 57.2% were females and 42.8% males. Majority of the respondents (92.1%) knew about TEM. The prevalence of the use of TEM was 48.7%. Affordability (21.8%) was the main reason for the use of TEM. The male gender, persons of low socio economic class and people that lacked formal education were more likely to use TEM (p=0.001). CONCLUSION The determinants of the use of traditional eye medication in this community are affordability, low socio economic status and lack of formal education. Formal education is of great importance, as this will go a long way in addressing the issues directly relating to the use of traditional eye medication in our communities.","author":[{"dropping-particle":"","family":"Kayoma","given":"D H","non-dropping-particle":"","parse-names":false,"suffix":""},{"dropping-particle":"","family":"Ukponmwan","given":"C U","non-dropping-particle":"","parse-names":false,"suffix":""}],"container-title":"Journal of the West African College of Surgeons","id":"ITEM-2","issue":"3","issued":{"date-parts":[["2016"]]},"page":"49","title":"Determinants of the Use of Traditional Eye Medication in a Semi-Urban Community in Southern Nigeria","type":"article-journal","volume":"6"},"uris":["http://www.mendeley.com/documents/?uuid=15b55095-4e96-388c-b1f8-f10bc90be2f3"]}],"mendeley":{"formattedCitation":"&lt;sup&gt;[1,4]&lt;/sup&gt;","plainTextFormattedCitation":"[1,4]","previouslyFormattedCitation":"&lt;sup&gt;[1,4]&lt;/sup&gt;"},"properties":{"noteIndex":0},"schema":"https://github.com/citation-style-language/schema/raw/master/csl-citation.json"}</w:instrText>
      </w:r>
      <w:r w:rsidRPr="00950924">
        <w:rPr>
          <w:rFonts w:ascii="Garamond" w:hAnsi="Garamond"/>
          <w:bCs/>
          <w:iCs/>
          <w:sz w:val="20"/>
          <w:szCs w:val="20"/>
        </w:rPr>
        <w:fldChar w:fldCharType="separate"/>
      </w:r>
      <w:r w:rsidRPr="00950924">
        <w:rPr>
          <w:rFonts w:ascii="Garamond" w:hAnsi="Garamond"/>
          <w:bCs/>
          <w:iCs/>
          <w:sz w:val="20"/>
          <w:szCs w:val="20"/>
          <w:vertAlign w:val="superscript"/>
        </w:rPr>
        <w:t>[1,4]</w:t>
      </w:r>
      <w:r w:rsidRPr="00950924">
        <w:rPr>
          <w:rFonts w:ascii="Garamond" w:hAnsi="Garamond"/>
          <w:bCs/>
          <w:iCs/>
          <w:sz w:val="20"/>
          <w:szCs w:val="20"/>
        </w:rPr>
        <w:fldChar w:fldCharType="end"/>
      </w:r>
    </w:p>
    <w:p w14:paraId="09D9F70B" w14:textId="614E5C7E" w:rsidR="00950924" w:rsidRPr="00691BD8" w:rsidRDefault="00950924" w:rsidP="00950924">
      <w:pPr>
        <w:spacing w:line="259" w:lineRule="auto"/>
        <w:jc w:val="both"/>
        <w:rPr>
          <w:rFonts w:ascii="Garamond" w:hAnsi="Garamond"/>
          <w:bCs/>
          <w:iCs/>
          <w:sz w:val="20"/>
          <w:szCs w:val="20"/>
          <w:vertAlign w:val="superscript"/>
        </w:rPr>
      </w:pPr>
      <w:r w:rsidRPr="00950924">
        <w:rPr>
          <w:rFonts w:ascii="Garamond" w:hAnsi="Garamond"/>
          <w:bCs/>
          <w:iCs/>
          <w:sz w:val="20"/>
          <w:szCs w:val="20"/>
        </w:rPr>
        <w:t xml:space="preserve"> The use of unverified topical medication administered on the advice of relatives and non-medical personnel are common in our environment.</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{"citationItems":[{"id":"ITEM-1","itemData":{"DOI":"10.25259/GJCSRO_29_2023","ISSN":"2835-4974","abstract":"Background/Aim: The use of traditional eye medication (TEM) is an age-long practice whose negative effects on eye health have been well documented. TEM involves the application of different harmful preparations to the eye as a form of treatment. This article is aimed at highlighting the burden of harmful traditional practices on eye care in Nigeria. Methodology: A review of available literature was conducted to summarize the different types of harmful traditional eye practices in Nigeria, including the many different preparations used. Prevalence of harmful traditional practices, determinants, burden in Nigeria. Issues relating to determinants, prevalence, indications for TEM use, presentation of patients with a history of TEM use, ocular complications following TEM use, the pathway to blindness with TEM use, economic burden, and prevention were considered in the review. The prevalence of TEM use was 15.5%, and the common determinants included low socioeconomic status, rural residence, poor access to conventional eye care, and cultural beliefs. The indications for the use of these medications included blurring of vision, red eyes, ocular pain, and itching. Patients who used TEMs presented with various levels of visual impairment (14.5% and 13.1%, respectively, for moderate and severe visual impairment), and 51.3% were reported blind at presentation. The common complications of these agents were corneal scars (opacities), staphylomas, endophthalmitis and panophthalmitis, corneal ulcers and perforations, uveitis, band and bullous keratopathies, complicated cataracts, subluxated lens, and descemetoceles. Conclusion: The prevalence of TEM use, visual impairment, and blindness arising from it is high in Nigeria. The ocular morbidities that follow TEM use constitute a significant burden (economic and otherwise) on eye care delivery in the country. A multipronged approach by stakeholders is required to mitigate the enablers of TEM practice in Nigeria. Furthermore, where there are complications, prompt referral to an ophthalmologist is advocated as they are well-equipped to provide the most appropriate management.","author":[{"dropping-particle":"","family":"Nathaniel","given":"Godswill Inye","non-dropping-particle":"","parse-names":false,"suffix":""},{"dropping-particle":"","family":"Eze","given":"Ugochukwu Anthony","non-dropping-particle":"","parse-names":false,"suffix":""}],"container-title":"Global Journal of Cataract Surgery and Research in Ophthalmology","id":"ITEM-1","issue":"1","issued":{"date-parts":[["2024","5","30"]]},"page":"34-42","publisher":"Scientific Scholar","title":"Harmful traditional eye practices in Nigeria and its burden on eye care: A review of literature","type":"article-journal","volume":"3"},"uris":["http://www.mendeley.com/documents/?uuid=fb37b92d-6a45-3d80-af48-9799c0c77737"]}],"mendeley":{"formattedCitation":"&lt;sup&gt;[2]&lt;/sup&gt;","plainTextFormattedCitation":"[2]","previouslyFormattedCitation":"&lt;sup&gt;[2]&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[2]</w:t>
      </w:r>
      <w:r w:rsidRPr="00950924">
        <w:rPr>
          <w:rFonts w:ascii="Garamond" w:hAnsi="Garamond"/>
          <w:bCs/>
          <w:iCs/>
          <w:sz w:val="20"/>
          <w:szCs w:val="20"/>
        </w:rPr>
        <w:fldChar w:fldCharType="end"/>
      </w:r>
      <w:r w:rsidRPr="00950924">
        <w:rPr>
          <w:rFonts w:ascii="Garamond" w:hAnsi="Garamond"/>
          <w:bCs/>
          <w:iCs/>
          <w:sz w:val="20"/>
          <w:szCs w:val="20"/>
        </w:rPr>
        <w:t xml:space="preserve"> Some TEM could be harmful to ocular structures and may result in complications such as ocular surface irritations, burns and infections, corneal ulcers, corneal opacity, corneal perforation, endophthalmitis, conjunctival cicatrization, symblepharon formation and obliteration of the </w:t>
      </w:r>
      <w:proofErr w:type="spellStart"/>
      <w:r w:rsidRPr="00950924">
        <w:rPr>
          <w:rFonts w:ascii="Garamond" w:hAnsi="Garamond"/>
          <w:bCs/>
          <w:iCs/>
          <w:sz w:val="20"/>
          <w:szCs w:val="20"/>
        </w:rPr>
        <w:t>fornices</w:t>
      </w:r>
      <w:proofErr w:type="spellEnd"/>
      <w:r w:rsidRPr="00950924">
        <w:rPr>
          <w:rFonts w:ascii="Garamond" w:hAnsi="Garamond"/>
          <w:bCs/>
          <w:iCs/>
          <w:sz w:val="20"/>
          <w:szCs w:val="20"/>
        </w:rPr>
        <w:t>, some of which may be sight-threatening.</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{"citationItems":[{"id":"ITEM-1","itemData":{"DOI":"10.4103/meajo.meajo_120_21","ISSN":"09751599","PMID":"34759672","abstract":"The present paper reviewed the ocular complications resulting from the use of traditional eye medicine in Central Saudi Arabia. We performed a literature search of the PubMed database using the keywords 'traditional medicine,' 'herbal medicine,' 'ocular injuries,' and 'visual impairments,' covering all years available for peer-reviewed full-text articles, letters, and review chapters of books. An additional search was performed in Google Scholar. All published materials were in English. Several ocular symptoms and disorders, including conjunctival cicatrization, symblepharon formation, obliteration of the fornices and the canaliculi, keratinization of the cornea, dryness, central corneal thinning, and corneal epithelial defect, have been associated with the use of traditional herbal medicine. In addition, the use of traditional eye medicine may result in corneal edema, opacity, ulceration, and perforation. Early recognition of ocular injuries could avoid or at least delay long-term sequelae. Ophthalmologists should be aware of the side effects of traditional remedies. Furthermore, public education, early detection of symptoms, and timely intervention may prevent permanent damage to the eyes.","author":[{"dropping-particle":"","family":"Al-Ghadeer","given":"Huda","non-dropping-particle":"","parse-names":false,"suffix":""},{"dropping-particle":"","family":"Al-Amry","given":"Mohammed","non-dropping-particle":"","parse-names":false,"suffix":""}],"container-title":"Middle East African Journal of Ophthalmology","id":"ITEM-1","issue":"2","issued":{"date-parts":[["2021","4","1"]]},"page":"131","publisher":"Wolters Kluwer Medknow Publications","title":"Ocular Complications Resulting from the Use of Traditional Herbal Medicine in Central Saudi Arabia: A Review","type":"article-journal","volume":"28"},"uris":["http://www.mendeley.com/documents/?uuid=a102a86f-c5c4-3895-b367-ce0d833b949e"]}],"mendeley":{"formattedCitation":"&lt;sup&gt;[5]&lt;/sup&gt;","plainTextFormattedCitation":"[5]","previouslyFormattedCitation":"&lt;sup&gt;[5]&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[5]</w:t>
      </w:r>
      <w:r w:rsidRPr="00950924">
        <w:rPr>
          <w:rFonts w:ascii="Garamond" w:hAnsi="Garamond"/>
          <w:bCs/>
          <w:iCs/>
          <w:sz w:val="20"/>
          <w:szCs w:val="20"/>
        </w:rPr>
        <w:fldChar w:fldCharType="end"/>
      </w:r>
    </w:p>
    <w:p w14:paraId="39CF451B" w14:textId="410C2450"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Mothers play a significant role in the eye health of a child.</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{"citationItems":[{"id":"ITEM-1","itemData":{"ISSN":"1993-7288","PMID":"19888363","author":[{"dropping-particle":"","family":"Kothari","given":"Gopa","non-dropping-particle":"","parse-names":false,"suffix":""}],"container-title":"Community Eye Health","id":"ITEM-1","issue":"70","issued":{"date-parts":[["2009","6"]]},"page":"20","title":"Working with women to improve child and community eye health","type":"article-journal","volume":"22"},"uris":["http://www.mendeley.com/documents/?uuid=4f32feb1-b3e9-3623-a72b-5a901da3b6ce"]}],"mendeley":{"formattedCitation":"&lt;sup&gt;[6]&lt;/sup&gt;","plainTextFormattedCitation":"[6]","previouslyFormattedCitation":"&lt;sup&gt;[7]&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[6]</w:t>
      </w:r>
      <w:r w:rsidRPr="00950924">
        <w:rPr>
          <w:rFonts w:ascii="Garamond" w:hAnsi="Garamond"/>
          <w:bCs/>
          <w:iCs/>
          <w:sz w:val="20"/>
          <w:szCs w:val="20"/>
        </w:rPr>
        <w:fldChar w:fldCharType="end"/>
      </w:r>
      <w:r w:rsidRPr="00950924">
        <w:rPr>
          <w:rFonts w:ascii="Garamond" w:hAnsi="Garamond"/>
          <w:bCs/>
          <w:iCs/>
          <w:sz w:val="20"/>
          <w:szCs w:val="20"/>
        </w:rPr>
        <w:t xml:space="preserve"> The health of a child is heavily dependent on the mother’s health-seeking behavior as she decides if her child’s eye condition is serious enough to require medical attention.</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{"citationItems":[{"id":"ITEM-1","itemData":{"author":[{"dropping-particle":"","family":"Adamu","given":"Asmau","non-dropping-particle":"","parse-names":false,"suffix":""},{"dropping-particle":"","family":"Ango","given":"Umar Mohammad","non-dropping-particle":"","parse-names":false,"suffix":""}],"container-title":"Annals of African Medicine","id":"ITEM-1","issued":{"date-parts":[["2024"]]},"page":"335-342","title":"Health</w:instrText>
      </w:r>
      <w:r w:rsidRPr="00950924">
        <w:rPr>
          <w:rFonts w:ascii="Cambria Math" w:hAnsi="Cambria Math" w:cs="Cambria Math"/>
          <w:bCs/>
          <w:iCs/>
          <w:sz w:val="20"/>
          <w:szCs w:val="20"/>
          <w:vertAlign w:val="superscript"/>
        </w:rPr>
        <w:instrText>‑</w:instrText>
      </w:r>
      <w:r w:rsidRPr="00950924">
        <w:rPr>
          <w:rFonts w:ascii="Garamond" w:hAnsi="Garamond"/>
          <w:bCs/>
          <w:iCs/>
          <w:sz w:val="20"/>
          <w:szCs w:val="20"/>
          <w:vertAlign w:val="superscript"/>
        </w:rPr>
        <w:instrText>seeking Behavior among Mothers of Under</w:instrText>
      </w:r>
      <w:r w:rsidRPr="00950924">
        <w:rPr>
          <w:rFonts w:ascii="Cambria Math" w:hAnsi="Cambria Math" w:cs="Cambria Math"/>
          <w:bCs/>
          <w:iCs/>
          <w:sz w:val="20"/>
          <w:szCs w:val="20"/>
          <w:vertAlign w:val="superscript"/>
        </w:rPr>
        <w:instrText>‑</w:instrText>
      </w:r>
      <w:r w:rsidRPr="00950924">
        <w:rPr>
          <w:rFonts w:ascii="Garamond" w:hAnsi="Garamond"/>
          <w:bCs/>
          <w:iCs/>
          <w:sz w:val="20"/>
          <w:szCs w:val="20"/>
          <w:vertAlign w:val="superscript"/>
        </w:rPr>
        <w:instrText>five Children in Sokoto Metropolis, Sokoto, Nigeria","type":"article-journal","volume":"23"},"uris":["http://www.mendeley.com/documents/?uuid=94005801-2525-37dd-8c5c-3e4f79e942d5"]},{"id":"ITEM-2","itemData":{"author":[{"dropping-particle":"","family":"Ramai","given":"Daryl","non-dropping-particle":"","parse-names":false,"suffix":""},{"dropping-particle":"","family":"Pulisetty","given":"Tejas","non-dropping-particle":"","parse-names":false,"suffix":""}],"container-title":"The Internet Journal of Epidemiology","id":"ITEM-2","issue":"1","issued":{"date-parts":[["2013"]]},"page":"1588","title":"Maternal And Caregiver Perceptions To Childhood Eye Care In Ghana","type":"article-journal","volume":"11"},"uris":["http://www.mendeley.com/documents/?uuid=0799d714-237e-32cb-961e-3d146429901b"]}],"mendeley":{"formattedCitation":"&lt;sup&gt;[7,8]&lt;/sup&gt;","plainTextFormattedCitation":"[7,8]","previouslyFormattedCitation":"&lt;sup&gt;[8,9]&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[7,8]</w:t>
      </w:r>
      <w:r w:rsidRPr="00950924">
        <w:rPr>
          <w:rFonts w:ascii="Garamond" w:hAnsi="Garamond"/>
          <w:bCs/>
          <w:iCs/>
          <w:sz w:val="20"/>
          <w:szCs w:val="20"/>
        </w:rPr>
        <w:fldChar w:fldCharType="end"/>
      </w:r>
      <w:r w:rsidRPr="00950924">
        <w:rPr>
          <w:rFonts w:ascii="Garamond" w:hAnsi="Garamond"/>
          <w:bCs/>
          <w:iCs/>
          <w:sz w:val="20"/>
          <w:szCs w:val="20"/>
          <w:vertAlign w:val="superscript"/>
        </w:rPr>
        <w:t xml:space="preserve"> </w:t>
      </w:r>
      <w:r w:rsidRPr="00950924">
        <w:rPr>
          <w:rFonts w:ascii="Garamond" w:hAnsi="Garamond"/>
          <w:bCs/>
          <w:iCs/>
          <w:sz w:val="20"/>
          <w:szCs w:val="20"/>
        </w:rPr>
        <w:t xml:space="preserve">  Mothers also play a crucial role in choice of and adherence to treatment for their children’s eye problems. Given the long expected life years of a child, a mother’s wrong eye care choice could have dire, long term consequences on visual function, development and quality of life of the child.</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{"citationItems":[{"id":"ITEM-1","itemData":{"DOI":"10.2147/OPTH.S440744","ISSN":"11775483","PMID":"38317794","abstract":"Background: Low/middle-income countries have the highest burden of blindeness and visual impairment, which directly affects the children and indirectly affects their community. Furthermore, the number of blind years suffered by children with low vision or blindness creates a self-perpetuating ripple effect on their development, health and the socio-economic development of their communities. This systematic review aims to interrogate the existing evidence on the prevalence and causes of blindness and visual impairment in Nigerian children to provide evidence to drive health policy. Methods: This was a systematic review without meta-analysis (SwiM) using a narrative synthesis of the evidence reported using the PRISMA guidelines. All primary cross-sectional studies (in English) reporting the prevalence and causes of visual impairment among Nigerian children under 20 years old between 2003 and 2022 were included in this review. PUBMED, AJOL, BASE and ProQuest databases were searched for eligible studies between 6 June and 15 July 2023. The quality of the included studies was assessed using the AXIS tool. Results were extracted and summarised using descriptive statistics. Visual impairment and blindness using the presenting visual acuity in the better eye were reported using the WHO classification. Results: Seventeen studies, involving 16,924 children from 13 states across five geo-political zones in Nigeria, were included in the final analysis of this review. The prevalence of visual impairment was 3.9%, 2.7% and 0.3% for mild, moderate and severe visual impairments, respectively, due to ametropia, cataracts, glaucoma, etc. The prevalence of blindness was 0.2% due to cataracts, corneal scars and optic atrophy. Conclusion: Blindness and visual impairment is still a significant clinical and public health burden among Nigerian children. Hence, there is still a need for clinicians, especially opthalmologists, public health specialists, policy-makers, and other relevant stakeholders to intensify efforts towards the prevention and control of this burden.","author":[{"dropping-particle":"","family":"Eze","given":"Ugochukwu Anthony","non-dropping-particle":"","parse-names":false,"suffix":""},{"dropping-particle":"","family":"Obasuyi","given":"Osamudiamen Cyril","non-dropping-particle":"","parse-names":false,"suffix":""},{"dropping-particle":"","family":"Salihu","given":"Dora Valerie","non-dropping-particle":"","parse-names":false,"suffix":""},{"dropping-particle":"","family":"Bature","given":"Mustapha","non-dropping-particle":"","parse-names":false,"suffix":""},{"dropping-particle":"","family":"Yeye-Agba","given":"Olabisi Olayemi","non-dropping-particle":"","parse-names":false,"suffix":""},{"dropping-particle":"","family":"Kanmodi","given":"Kehinde Kazeem","non-dropping-particle":"","parse-names":false,"suffix":""}],"container-title":"Clinical Ophthalmology (Auckland, N.Z.)","id":"ITEM-1","issued":{"date-parts":[["2024"]]},"page":"289","publisher":"Dove Medical Press Ltd","title":"Prevalence and Causes of Blindness and Visual Impairment Among Nigerian Children: A Systematic Review","type":"article-journal","volume":"18"},"uris":["http://www.mendeley.com/documents/?uuid=f3e3c600-b7ea-3c17-9514-9992a2ca2f41"]}],"mendeley":{"formattedCitation":"&lt;sup&gt;[9]&lt;/sup&gt;","plainTextFormattedCitation":"[9]","previouslyFormattedCitation":"&lt;sup&gt;[10]&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[9]</w:t>
      </w:r>
      <w:r w:rsidRPr="00950924">
        <w:rPr>
          <w:rFonts w:ascii="Garamond" w:hAnsi="Garamond"/>
          <w:bCs/>
          <w:iCs/>
          <w:sz w:val="20"/>
          <w:szCs w:val="20"/>
        </w:rPr>
        <w:fldChar w:fldCharType="end"/>
      </w:r>
      <w:r w:rsidRPr="00950924">
        <w:rPr>
          <w:rFonts w:ascii="Garamond" w:hAnsi="Garamond"/>
          <w:bCs/>
          <w:iCs/>
          <w:sz w:val="20"/>
          <w:szCs w:val="20"/>
          <w:vertAlign w:val="superscript"/>
        </w:rPr>
        <w:t xml:space="preserve">  </w:t>
      </w:r>
      <w:r w:rsidRPr="00950924">
        <w:rPr>
          <w:rFonts w:ascii="Garamond" w:hAnsi="Garamond"/>
          <w:bCs/>
          <w:iCs/>
          <w:sz w:val="20"/>
          <w:szCs w:val="20"/>
        </w:rPr>
        <w:t xml:space="preserve"> </w:t>
      </w:r>
    </w:p>
    <w:p w14:paraId="02E85012" w14:textId="77777777" w:rsidR="00950924" w:rsidRDefault="00950924" w:rsidP="00950924">
      <w:pPr>
        <w:spacing w:line="259" w:lineRule="auto"/>
        <w:jc w:val="both"/>
        <w:rPr>
          <w:rFonts w:ascii="Garamond" w:hAnsi="Garamond"/>
          <w:bCs/>
          <w:iCs/>
          <w:sz w:val="20"/>
          <w:szCs w:val="20"/>
        </w:rPr>
      </w:pPr>
    </w:p>
    <w:p w14:paraId="55FFC072" w14:textId="163F3554"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The prevalence of TEM use in Nigeria reported in a review is 15.5%.</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{"citationItems":[{"id":"ITEM-1","itemData":{"DOI":"10.25259/GJCSRO_29_2023","ISSN":"2835-4974","abstract":"Background/Aim: The use of traditional eye medication (TEM) is an age-long practice whose negative effects on eye health have been well documented. TEM involves the application of different harmful preparations to the eye as a form of treatment. This article is aimed at highlighting the burden of harmful traditional practices on eye care in Nigeria. Methodology: A review of available literature was conducted to summarize the different types of harmful traditional eye practices in Nigeria, including the many different preparations used. Prevalence of harmful traditional practices, determinants, burden in Nigeria. Issues relating to determinants, prevalence, indications for TEM use, presentation of patients with a history of TEM use, ocular complications following TEM use, the pathway to blindness with TEM use, economic burden, and prevention were considered in the review. The prevalence of TEM use was 15.5%, and the common determinants included low socioeconomic status, rural residence, poor access to conventional eye care, and cultural beliefs. The indications for the use of these medications included blurring of vision, red eyes, ocular pain, and itching. Patients who used TEMs presented with various levels of visual impairment (14.5% and 13.1%, respectively, for moderate and severe visual impairment), and 51.3% were reported blind at presentation. The common complications of these agents were corneal scars (opacities), staphylomas, endophthalmitis and panophthalmitis, corneal ulcers and perforations, uveitis, band and bullous keratopathies, complicated cataracts, subluxated lens, and descemetoceles. Conclusion: The prevalence of TEM use, visual impairment, and blindness arising from it is high in Nigeria. The ocular morbidities that follow TEM use constitute a significant burden (economic and otherwise) on eye care delivery in the country. A multipronged approach by stakeholders is required to mitigate the enablers of TEM practice in Nigeria. Furthermore, where there are complications, prompt referral to an ophthalmologist is advocated as they are well-equipped to provide the most appropriate management.","author":[{"dropping-particle":"","family":"Nathaniel","given":"Godswill Inye","non-dropping-particle":"","parse-names":false,"suffix":""},{"dropping-particle":"","family":"Eze","given":"Ugochukwu Anthony","non-dropping-particle":"","parse-names":false,"suffix":""}],"container-title":"Global Journal of Cataract Surgery and Research in Ophthalmology","id":"ITEM-1","issue":"1","issued":{"date-parts":[["2024","5","30"]]},"page":"34-42","publisher":"Scientific Scholar","title":"Harmful traditional eye practices in Nigeria and its burden on eye care: A review of literature","type":"article-journal","volume":"3"},"uris":["http://www.mendeley.com/documents/?uuid=fb37b92d-6a45-3d80-af48-9799c0c77737"]}],"mendeley":{"formattedCitation":"&lt;sup&gt;[2]&lt;/sup&gt;","plainTextFormattedCitation":"[2]","previouslyFormattedCitation":"&lt;sup&gt;[2]&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[2]</w:t>
      </w:r>
      <w:r w:rsidRPr="00950924">
        <w:rPr>
          <w:rFonts w:ascii="Garamond" w:hAnsi="Garamond"/>
          <w:bCs/>
          <w:iCs/>
          <w:sz w:val="20"/>
          <w:szCs w:val="20"/>
        </w:rPr>
        <w:fldChar w:fldCharType="end"/>
      </w:r>
      <w:r w:rsidRPr="00950924">
        <w:rPr>
          <w:rFonts w:ascii="Garamond" w:hAnsi="Garamond"/>
          <w:bCs/>
          <w:iCs/>
          <w:sz w:val="20"/>
          <w:szCs w:val="20"/>
        </w:rPr>
        <w:t xml:space="preserve"> Other studies across Nigeria have reported varying prevalence of TEM use including those done in Benin (1.6%),</w:t>
      </w:r>
      <w:r w:rsidRPr="00950924">
        <w:rPr>
          <w:rFonts w:ascii="Garamond" w:hAnsi="Garamond"/>
          <w:bCs/>
          <w:iCs/>
          <w:sz w:val="20"/>
          <w:szCs w:val="20"/>
        </w:rPr>
        <w:fldChar w:fldCharType="begin" w:fldLock="1"/>
      </w:r>
      <w:r w:rsidRPr="00950924">
        <w:rPr>
          <w:rFonts w:ascii="Garamond" w:hAnsi="Garamond"/>
          <w:bCs/>
          <w:iCs/>
          <w:sz w:val="20"/>
          <w:szCs w:val="20"/>
        </w:rPr>
        <w:instrText>ADDIN CSL_CITATION {"citationItems":[{"id":"ITEM-1","itemData":{"DOI":"10.1186/1472-6882-9-40","ISSN":"14726882","PMID":"19852826","abstract":"Background: This study set out to determine the incidence, socio-demographic, and clinical correlates of Traditional Eye Medicine (TEM) use in a population of newly presenting ophthalmic outpatients attending a tertiary eye care centre in south-eastern Nigeria. Methods: In a comparative cross-sectional survey at the eye clinic of the University of Nigeria Teaching Hospital (UNTH), Enugu, between August 2004 - July 2006, all newly presenting ophthalmic outpatients were recruited. Participants' socio-demographic and clinical data and profile of TEM use were obtained from history and examination of each participant and entered into a pretested questionnaire and proforma. Participants were subsequently categorized into TEM- users and non-users; intra-group analysis yielded proportions, frequencies, and percentages while chi-square test was used for inter-group comparisons at P = 0.01, df = 1. Results: Of the 2,542 (males, 48.1%; females, 51.9%) participants, 149 (5.9%) (males, 45%; females, 55%) used TEM for their current eye disease. The TEMs used were chemical substances (57.7%), plant products (37.7%), and animal products (4.7%). They were more often prescribed by non-traditional (66.4%) than traditional (36.9%) medicine practitioners. TEMs were used on account of vision loss (58.5%), ocular itching (25.4%) and eye discharge (3.8%). Reported efficacy from previous users (67.1%) and belief in potency (28.2%) were the main reasons for using TEM. Civil servants (20.1%), farmers (17.7%), and traders (14.1%) were the leading users of TEM. TEM use was significantly associated with younger age (p &lt; 0.01), being married (p &lt; 0.01), rural residence (p &lt; 0.01), ocular anterior segment disease (p &lt; 0.01), delayed presentation (p &lt; 0.01), low presenting visual acuity (p &lt; 0.01), and co-morbid chronic medical disease (p &lt; 0.01), but not with gender (p = 0.157), and educational status (p = 0.115). Conclusion: The incidence of TEM use among new ophthalmic outpatients at UNTH is low. The reasons for TEM use are amenable to positive change through enhanced delivery of promotive, preventive, and curative public eye care services. This has implications for eye care planners and implementers. To reverse the trend, we suggest strengthening of eye care programmes, even distribution of eye care resources, active collaboration with orthodox eye care providers and traditional medical practitioners, and intensification of research efforts into the pharmacology of TEMs. © 2009 Eze…","author":[{"dropping-particle":"","family":"Eze","given":"Boniface I.","non-dropping-particle":"","parse-names":false,"suffix":""},{"dropping-particle":"","family":"Chuka-Okosa","given":"Chimdi M.","non-dropping-particle":"","parse-names":false,"suffix":""},{"dropping-particle":"","family":"Uche","given":"Judith N.","non-dropping-particle":"","parse-names":false,"suffix":""}],"container-title":"BMC Complementary and Alternative Medicine","id":"ITEM-1","issued":{"date-parts":[["2009","10","24"]]},"page":"40","publisher":"BioMed Central Ltd.","title":"Traditional eye medicine use by newly presenting ophthalmic patients to a teaching hospital in south-eastern Nigeria: socio-demographic and clinical correlates","type":"article-journal","volume":"9"},"uris":["http://www.mendeley.com/documents/?uuid=c5949b26-85ef-369d-8919-e5c8ccd78def"]}],"mendeley":{"formattedCitation":"&lt;sup&gt;[10]&lt;/sup&gt;","plainTextFormattedCitation":"[10]","previouslyFormattedCitation":"&lt;sup&gt;[11]&lt;/sup&gt;"},"properties":{"noteIndex":0},"schema":"https://github.com/citation-style-language/schema/raw/master/csl-citation.json"}</w:instrText>
      </w:r>
      <w:r w:rsidRPr="00950924">
        <w:rPr>
          <w:rFonts w:ascii="Garamond" w:hAnsi="Garamond"/>
          <w:bCs/>
          <w:iCs/>
          <w:sz w:val="20"/>
          <w:szCs w:val="20"/>
        </w:rPr>
        <w:fldChar w:fldCharType="separate"/>
      </w:r>
      <w:r w:rsidRPr="00950924">
        <w:rPr>
          <w:rFonts w:ascii="Garamond" w:hAnsi="Garamond"/>
          <w:bCs/>
          <w:iCs/>
          <w:sz w:val="20"/>
          <w:szCs w:val="20"/>
          <w:vertAlign w:val="superscript"/>
        </w:rPr>
        <w:t>[10]</w:t>
      </w:r>
      <w:r w:rsidRPr="00950924">
        <w:rPr>
          <w:rFonts w:ascii="Garamond" w:hAnsi="Garamond"/>
          <w:bCs/>
          <w:iCs/>
          <w:sz w:val="20"/>
          <w:szCs w:val="20"/>
        </w:rPr>
        <w:fldChar w:fldCharType="end"/>
      </w:r>
      <w:r w:rsidRPr="00950924">
        <w:rPr>
          <w:rFonts w:ascii="Garamond" w:hAnsi="Garamond"/>
          <w:bCs/>
          <w:iCs/>
          <w:sz w:val="20"/>
          <w:szCs w:val="20"/>
        </w:rPr>
        <w:t xml:space="preserve"> Ado-Ekiti (4.4%),</w:t>
      </w:r>
      <w:r w:rsidRPr="00950924">
        <w:rPr>
          <w:rFonts w:ascii="Garamond" w:hAnsi="Garamond"/>
          <w:bCs/>
          <w:iCs/>
          <w:sz w:val="20"/>
          <w:szCs w:val="20"/>
        </w:rPr>
        <w:fldChar w:fldCharType="begin" w:fldLock="1"/>
      </w:r>
      <w:r w:rsidRPr="00950924">
        <w:rPr>
          <w:rFonts w:ascii="Garamond" w:hAnsi="Garamond"/>
          <w:bCs/>
          <w:iCs/>
          <w:sz w:val="20"/>
          <w:szCs w:val="20"/>
        </w:rPr>
        <w:instrText>ADDIN CSL_CITATION {"citationItems":[{"id":"ITEM-1","itemData":{"DOI":"10.5539/gjhs.v5n4p55","ISSN":"19169736","PMID":"23777721","abstract":"Ocular trauma of varying aetiologies do occur frequently, however when different traditional/harmful substances are applied before presentation in the hospital, prognosis in terms of visual outcome following treatment may be worse than expected. This study is aimed at determining the prevalence of harmful/traditional eye medication practices among patients with traumatic eye injury in a tertiary institution. It is a retrospective study of patients seen at the eye clinic of the Ekiti State University Teaching Hospital (a state government owned hospital), Ado Ekiti, from January to December 2009. A review of case notes (medical records) of patients with history of ocular trauma both open and closed globe injury and who presented to the eye clinic of the Ekiti State University Teaching Hospital, Ado Ekiti from January to December 2009 was carried out. Demographic data of the patients, nature of the ocular trauma, substances applied to the eyes, visual acuity at presentation and after treatment were extracted. Frequencies and percentages were used in analysing the data. A total of 1420 new patients attended the eye clinic during the study period (January to December 2009). Forty eight (3.4%) applied various substances into their eyes after sustaining ocular injury. Substances applied include Kerosene 25%, cassava water 20.8%, breast milk 12.5%, personal urine 10.8%, and cow urine 8.3%. Nearly half of the patients 23 (47.9%) presented with low vision and after treatment there was no visual improvement in almost all of them, 22 (45.8%). The period before presentation ranges between 1hr -2 weeks post injury. However, the number of monocular blindness reduced from 8 (16.7%) to 5 (10.4%) after treatment. Kerosene and Cassava water were the common substances applied to the injured eye. The use of these harmful and traditional eye medications on injured eyes can reduce further the visual prognosis despite ophthalmic intervention.","author":[{"dropping-particle":"","family":"Ajite","given":"Kayode Olumide","non-dropping-particle":"","parse-names":false,"suffix":""},{"dropping-particle":"","family":"Fadamiro","given":"Olufunmilayo Christianah","non-dropping-particle":"","parse-names":false,"suffix":""}],"container-title":"Global Journal of Health Science","id":"ITEM-1","issue":"4","issued":{"date-parts":[["2013"]]},"page":"55","title":"Prevalence of Harmful/Traditional Medication Use in Traumatic Eye Injury","type":"article-journal","volume":"5"},"uris":["http://www.mendeley.com/documents/?uuid=117737b5-b7b0-37db-947f-bc7b76368f1a"]}],"mendeley":{"formattedCitation":"&lt;sup&gt;[11]&lt;/sup&gt;","plainTextFormattedCitation":"[11]","previouslyFormattedCitation":"&lt;sup&gt;[12]&lt;/sup&gt;"},"properties":{"noteIndex":0},"schema":"https://github.com/citation-style-language/schema/raw/master/csl-citation.json"}</w:instrText>
      </w:r>
      <w:r w:rsidRPr="00950924">
        <w:rPr>
          <w:rFonts w:ascii="Garamond" w:hAnsi="Garamond"/>
          <w:bCs/>
          <w:iCs/>
          <w:sz w:val="20"/>
          <w:szCs w:val="20"/>
        </w:rPr>
        <w:fldChar w:fldCharType="separate"/>
      </w:r>
      <w:r w:rsidRPr="00950924">
        <w:rPr>
          <w:rFonts w:ascii="Garamond" w:hAnsi="Garamond"/>
          <w:bCs/>
          <w:iCs/>
          <w:sz w:val="20"/>
          <w:szCs w:val="20"/>
          <w:vertAlign w:val="superscript"/>
        </w:rPr>
        <w:t>[11]</w:t>
      </w:r>
      <w:r w:rsidRPr="00950924">
        <w:rPr>
          <w:rFonts w:ascii="Garamond" w:hAnsi="Garamond"/>
          <w:bCs/>
          <w:iCs/>
          <w:sz w:val="20"/>
          <w:szCs w:val="20"/>
        </w:rPr>
        <w:fldChar w:fldCharType="end"/>
      </w:r>
      <w:r w:rsidRPr="00950924">
        <w:rPr>
          <w:rFonts w:ascii="Garamond" w:hAnsi="Garamond"/>
          <w:bCs/>
          <w:iCs/>
          <w:sz w:val="20"/>
          <w:szCs w:val="20"/>
        </w:rPr>
        <w:t xml:space="preserve"> Mangu, Plateau State (4.3%),</w:t>
      </w:r>
      <w:r w:rsidRPr="00950924">
        <w:rPr>
          <w:rFonts w:ascii="Garamond" w:hAnsi="Garamond"/>
          <w:bCs/>
          <w:iCs/>
          <w:sz w:val="20"/>
          <w:szCs w:val="20"/>
        </w:rPr>
        <w:fldChar w:fldCharType="begin" w:fldLock="1"/>
      </w:r>
      <w:r w:rsidRPr="00950924">
        <w:rPr>
          <w:rFonts w:ascii="Garamond" w:hAnsi="Garamond"/>
          <w:bCs/>
          <w:iCs/>
          <w:sz w:val="20"/>
          <w:szCs w:val="20"/>
        </w:rPr>
        <w:instrText>ADDIN CSL_CITATION {"citationItems":[{"id":"ITEM-1","itemData":{"author":[{"dropping-particle":"","family":"Oyediji","given":"F","non-dropping-particle":"","parse-names":false,"suffix":""},{"dropping-particle":"","family":"Ramyil","given":"A","non-dropping-particle":"","parse-names":false,"suffix":""},{"dropping-particle":"","family":"Odugbo","given":"P","non-dropping-particle":"","parse-names":false,"suffix":""},{"dropping-particle":"","family":"Mpyet","given":"C","non-dropping-particle":"","parse-names":false,"suffix":""}],"container-title":"Jos Journal of Medicine","id":"ITEM-1","issue":"1","issued":{"date-parts":[["2019"]]},"page":"67-75","title":"Traditional eye practices: a facility-based study in North Central Nigeria","type":"article-journal","volume":"13"},"uris":["http://www.mendeley.com/documents/?uuid=13930ccf-da05-3258-a1b5-3403b59dbdbd"]}],"mendeley":{"formattedCitation":"&lt;sup&gt;[12]&lt;/sup&gt;","plainTextFormattedCitation":"[12]","previouslyFormattedCitation":"&lt;sup&gt;[13]&lt;/sup&gt;"},"properties":{"noteIndex":0},"schema":"https://github.com/citation-style-language/schema/raw/master/csl-citation.json"}</w:instrText>
      </w:r>
      <w:r w:rsidRPr="00950924">
        <w:rPr>
          <w:rFonts w:ascii="Garamond" w:hAnsi="Garamond"/>
          <w:bCs/>
          <w:iCs/>
          <w:sz w:val="20"/>
          <w:szCs w:val="20"/>
        </w:rPr>
        <w:fldChar w:fldCharType="separate"/>
      </w:r>
      <w:r w:rsidRPr="00950924">
        <w:rPr>
          <w:rFonts w:ascii="Garamond" w:hAnsi="Garamond"/>
          <w:bCs/>
          <w:iCs/>
          <w:sz w:val="20"/>
          <w:szCs w:val="20"/>
          <w:vertAlign w:val="superscript"/>
        </w:rPr>
        <w:t>[12]</w:t>
      </w:r>
      <w:r w:rsidRPr="00950924">
        <w:rPr>
          <w:rFonts w:ascii="Garamond" w:hAnsi="Garamond"/>
          <w:bCs/>
          <w:iCs/>
          <w:sz w:val="20"/>
          <w:szCs w:val="20"/>
        </w:rPr>
        <w:fldChar w:fldCharType="end"/>
      </w:r>
      <w:r w:rsidRPr="00950924">
        <w:rPr>
          <w:rFonts w:ascii="Garamond" w:hAnsi="Garamond"/>
          <w:bCs/>
          <w:iCs/>
          <w:sz w:val="20"/>
          <w:szCs w:val="20"/>
        </w:rPr>
        <w:t xml:space="preserve"> Enugu (5.9%),</w:t>
      </w:r>
      <w:r w:rsidRPr="00950924">
        <w:rPr>
          <w:rFonts w:ascii="Garamond" w:hAnsi="Garamond"/>
          <w:bCs/>
          <w:iCs/>
          <w:sz w:val="20"/>
          <w:szCs w:val="20"/>
        </w:rPr>
        <w:fldChar w:fldCharType="begin" w:fldLock="1"/>
      </w:r>
      <w:r w:rsidRPr="00950924">
        <w:rPr>
          <w:rFonts w:ascii="Garamond" w:hAnsi="Garamond"/>
          <w:bCs/>
          <w:iCs/>
          <w:sz w:val="20"/>
          <w:szCs w:val="20"/>
        </w:rPr>
        <w:instrText>ADDIN CSL_CITATION {"citationItems":[{"id":"ITEM-1","itemData":{"DOI":"10.1186/1472-6882-9-40","ISSN":"14726882","PMID":"19852826","abstract":"Background: This study set out to determine the incidence, socio-demographic, and clinical correlates of Traditional Eye Medicine (TEM) use in a population of newly presenting ophthalmic outpatients attending a tertiary eye care centre in south-eastern Nigeria. Methods: In a comparative cross-sectional survey at the eye clinic of the University of Nigeria Teaching Hospital (UNTH), Enugu, between August 2004 - July 2006, all newly presenting ophthalmic outpatients were recruited. Participants' socio-demographic and clinical data and profile of TEM use were obtained from history and examination of each participant and entered into a pretested questionnaire and proforma. Participants were subsequently categorized into TEM- users and non-users; intra-group analysis yielded proportions, frequencies, and percentages while chi-square test was used for inter-group comparisons at P = 0.01, df = 1. Results: Of the 2,542 (males, 48.1%; females, 51.9%) participants, 149 (5.9%) (males, 45%; females, 55%) used TEM for their current eye disease. The TEMs used were chemical substances (57.7%), plant products (37.7%), and animal products (4.7%). They were more often prescribed by non-traditional (66.4%) than traditional (36.9%) medicine practitioners. TEMs were used on account of vision loss (58.5%), ocular itching (25.4%) and eye discharge (3.8%). Reported efficacy from previous users (67.1%) and belief in potency (28.2%) were the main reasons for using TEM. Civil servants (20.1%), farmers (17.7%), and traders (14.1%) were the leading users of TEM. TEM use was significantly associated with younger age (p &lt; 0.01), being married (p &lt; 0.01), rural residence (p &lt; 0.01), ocular anterior segment disease (p &lt; 0.01), delayed presentation (p &lt; 0.01), low presenting visual acuity (p &lt; 0.01), and co-morbid chronic medical disease (p &lt; 0.01), but not with gender (p = 0.157), and educational status (p = 0.115). Conclusion: The incidence of TEM use among new ophthalmic outpatients at UNTH is low. The reasons for TEM use are amenable to positive change through enhanced delivery of promotive, preventive, and curative public eye care services. This has implications for eye care planners and implementers. To reverse the trend, we suggest strengthening of eye care programmes, even distribution of eye care resources, active collaboration with orthodox eye care providers and traditional medical practitioners, and intensification of research efforts into the pharmacology of TEMs. © 2009 Eze…","author":[{"dropping-particle":"","family":"Eze","given":"Boniface I.","non-dropping-particle":"","parse-names":false,"suffix":""},{"dropping-particle":"","family":"Chuka-Okosa","given":"Chimdi M.","non-dropping-particle":"","parse-names":false,"suffix":""},{"dropping-particle":"","family":"Uche","given":"Judith N.","non-dropping-particle":"","parse-names":false,"suffix":""}],"container-title":"BMC Complementary and Alternative Medicine","id":"ITEM-1","issued":{"date-parts":[["2009","10","24"]]},"page":"40","publisher":"BioMed Central Ltd.","title":"Traditional eye medicine use by newly presenting ophthalmic patients to a teaching hospital in south-eastern Nigeria: socio-demographic and clinical correlates","type":"article-journal","volume":"9"},"uris":["http://www.mendeley.com/documents/?uuid=c5949b26-85ef-369d-8919-e5c8ccd78def"]}],"mendeley":{"formattedCitation":"&lt;sup&gt;[10]&lt;/sup&gt;","plainTextFormattedCitation":"[10]","previouslyFormattedCitation":"&lt;sup&gt;[11]&lt;/sup&gt;"},"properties":{"noteIndex":0},"schema":"https://github.com/citation-style-language/schema/raw/master/csl-citation.json"}</w:instrText>
      </w:r>
      <w:r w:rsidRPr="00950924">
        <w:rPr>
          <w:rFonts w:ascii="Garamond" w:hAnsi="Garamond"/>
          <w:bCs/>
          <w:iCs/>
          <w:sz w:val="20"/>
          <w:szCs w:val="20"/>
        </w:rPr>
        <w:fldChar w:fldCharType="separate"/>
      </w:r>
      <w:r w:rsidRPr="00950924">
        <w:rPr>
          <w:rFonts w:ascii="Garamond" w:hAnsi="Garamond"/>
          <w:bCs/>
          <w:iCs/>
          <w:sz w:val="20"/>
          <w:szCs w:val="20"/>
          <w:vertAlign w:val="superscript"/>
        </w:rPr>
        <w:t>[10]</w:t>
      </w:r>
      <w:r w:rsidRPr="00950924">
        <w:rPr>
          <w:rFonts w:ascii="Garamond" w:hAnsi="Garamond"/>
          <w:bCs/>
          <w:iCs/>
          <w:sz w:val="20"/>
          <w:szCs w:val="20"/>
        </w:rPr>
        <w:fldChar w:fldCharType="end"/>
      </w:r>
      <w:r w:rsidRPr="00950924">
        <w:rPr>
          <w:rFonts w:ascii="Garamond" w:hAnsi="Garamond"/>
          <w:bCs/>
          <w:iCs/>
          <w:sz w:val="20"/>
          <w:szCs w:val="20"/>
        </w:rPr>
        <w:t xml:space="preserve">  Onitsha (13.2%),</w:t>
      </w:r>
      <w:r w:rsidRPr="00950924">
        <w:rPr>
          <w:rFonts w:ascii="Garamond" w:hAnsi="Garamond"/>
          <w:bCs/>
          <w:iCs/>
          <w:sz w:val="20"/>
          <w:szCs w:val="20"/>
        </w:rPr>
        <w:fldChar w:fldCharType="begin" w:fldLock="1"/>
      </w:r>
      <w:r w:rsidRPr="00950924">
        <w:rPr>
          <w:rFonts w:ascii="Garamond" w:hAnsi="Garamond"/>
          <w:bCs/>
          <w:iCs/>
          <w:sz w:val="20"/>
          <w:szCs w:val="20"/>
        </w:rPr>
        <w:instrText>ADDIN CSL_CITATION {"citationItems":[{"id":"ITEM-1","itemData":{"DOI":"10.4103/1119-3077.91744","ISSN":"11193077","PMID":"22248938","abstract":"To determine the incidence and risk factors for traditional eye medicine use among patients at the Guinness Eye Center Onitsha, Nigeria. Materials and Methods: Consecutive new adult ophthalmic patients seen at the Guinness Eye Center Onitsha between January and April 2007 were interviewed on the use of traditional eye medicines and the type of traditional eye medicine used. Results: Of the 500 patients interviewed, 66 (13.2%) had used traditional eye medicines (TEM). The 66 patients, aged 18-84, were made up of 32 males and 34 females. The commonly used TEM were liquid from plant leaves and roots and other concoctions of unknown origin. Conjunctivitis and cataract constituted 54.5% of the ocular problems; 15(22.7%) patients had visual impairment while 5(7.6%) other patients were blind. Risk factors for TEM use include age above 50 years (P&lt;0.001); residence outside Onitsha metropolis (P&lt;0.001) or &gt;25 kilometres away from our hospital (P&lt;0.02) and lack of any formal education (P&lt;0.02). Decision to use TEM was not affected bygender (P&gt;0.05); chronic nature (P&gt;0.05) or painfulness of the ocular disease (P&gt;0.05). Conclusions: Traditional eye medicine is highly patronized by the people. Health education programmes with emphasis on safe eye care practices need be intensified in traditional healers and among the groups at risk.","author":[{"dropping-particle":"","family":"Nwosu","given":"S. N.N.","non-dropping-particle":"","parse-names":false,"suffix":""},{"dropping-particle":"","family":"Obidiozor","given":"J. U.","non-dropping-particle":"","parse-names":false,"suffix":""}],"container-title":"Nigerian journal of clinical practice","id":"ITEM-1","issue":"4","issued":{"date-parts":[["2011","10"]]},"page":"405-407","publisher":"Niger J Clin Pract","title":"Incidence and risk factors for traditional eye medicine use among patients at a tertiary eye hospital in Nigeria","type":"article-journal","volume":"14"},"uris":["http://www.mendeley.com/documents/?uuid=9f35690a-a879-3dac-92cc-bc51eafc0b43"]}],"mendeley":{"formattedCitation":"&lt;sup&gt;[13]&lt;/sup&gt;","plainTextFormattedCitation":"[13]","previouslyFormattedCitation":"&lt;sup&gt;[14]&lt;/sup&gt;"},"properties":{"noteIndex":0},"schema":"https://github.com/citation-style-language/schema/raw/master/csl-citation.json"}</w:instrText>
      </w:r>
      <w:r w:rsidRPr="00950924">
        <w:rPr>
          <w:rFonts w:ascii="Garamond" w:hAnsi="Garamond"/>
          <w:bCs/>
          <w:iCs/>
          <w:sz w:val="20"/>
          <w:szCs w:val="20"/>
        </w:rPr>
        <w:fldChar w:fldCharType="separate"/>
      </w:r>
      <w:r w:rsidRPr="00950924">
        <w:rPr>
          <w:rFonts w:ascii="Garamond" w:hAnsi="Garamond"/>
          <w:bCs/>
          <w:iCs/>
          <w:sz w:val="20"/>
          <w:szCs w:val="20"/>
          <w:vertAlign w:val="superscript"/>
        </w:rPr>
        <w:t>[13]</w:t>
      </w:r>
      <w:r w:rsidRPr="00950924">
        <w:rPr>
          <w:rFonts w:ascii="Garamond" w:hAnsi="Garamond"/>
          <w:bCs/>
          <w:iCs/>
          <w:sz w:val="20"/>
          <w:szCs w:val="20"/>
        </w:rPr>
        <w:fldChar w:fldCharType="end"/>
      </w:r>
      <w:r w:rsidRPr="00950924">
        <w:rPr>
          <w:rFonts w:ascii="Garamond" w:hAnsi="Garamond"/>
          <w:bCs/>
          <w:iCs/>
          <w:sz w:val="20"/>
          <w:szCs w:val="20"/>
        </w:rPr>
        <w:t xml:space="preserve"> Owerri (15.8%),</w:t>
      </w:r>
      <w:r w:rsidRPr="00950924">
        <w:rPr>
          <w:rFonts w:ascii="Garamond" w:hAnsi="Garamond"/>
          <w:bCs/>
          <w:iCs/>
          <w:sz w:val="20"/>
          <w:szCs w:val="20"/>
        </w:rPr>
        <w:fldChar w:fldCharType="begin" w:fldLock="1"/>
      </w:r>
      <w:r w:rsidRPr="00950924">
        <w:rPr>
          <w:rFonts w:ascii="Garamond" w:hAnsi="Garamond"/>
          <w:bCs/>
          <w:iCs/>
          <w:sz w:val="20"/>
          <w:szCs w:val="20"/>
        </w:rPr>
        <w:instrText>ADDIN CSL_CITATION {"citationItems":[{"id":"ITEM-1","itemData":{"DOI":"10.60787/PHMJ.V11I2.142","ISSN":"0795-3038","abstract":"Introduction: The perceived high cost of eye care services has been implicated as one of the reasons for the use of traditional eye medications (TEMs) in the country. Other factors including distance, tradition, ignorance, and failure of medical treatment among others have also been documented as determinants of TEM use. TEMs constitute a wide range of unorthodox therapies utilized for treatment of ocular disorders. They have been reported to have no beneficial effect rather causing more harm than good.\nAim: This study sought to determine the prevalence, types, and ocular indications for TEM use in the study population.\nMethods: This was a cross-sectional study in which a structured questionnaire was used to collect relevant data from consecutive patients attending the eye clinic during the study.\nResults: At a prevalence of 15.8%, the highest use of TEM was noted among artisans, those in the seventh decade of life, with low level of education, ocular complaints of poor vision, and illness of &amp;lt;1 year duration. Its use though high, was not significantly associated with age, sex, education, occupation and illness duration. Roots and herbs were the most common types of TEM used.\nConclusion: There was a high prevalence of use of TEM in this study. The deleterious effect of its use is known and has been reported in literature. Education and enlightenment of the public are needed and highly recommended.","author":[{"dropping-particle":"","family":"Achigbu","given":"Eberechukwu Ogbeanu","non-dropping-particle":"","parse-names":false,"suffix":""},{"dropping-particle":"","family":"Achigbu","given":"Kingsley Ihedioha","non-dropping-particle":"","parse-names":false,"suffix":""}],"container-title":"Port Harcourt Medical Journal","id":"ITEM-1","issue":"2","issued":{"date-parts":[["2017","6","1"]]},"page":"79-83","title":"Traditional eye medicine use among ophthalmic patients attending a secondary health care center in Southeast Nigeria","type":"article-journal","volume":"11"},"uris":["http://www.mendeley.com/documents/?uuid=544d4cce-5381-3efc-9398-51e71c522208"]}],"mendeley":{"formattedCitation":"&lt;sup&gt;[14]&lt;/sup&gt;","plainTextFormattedCitation":"[14]","previouslyFormattedCitation":"&lt;sup&gt;[15]&lt;/sup&gt;"},"properties":{"noteIndex":0},"schema":"https://github.com/citation-style-language/schema/raw/master/csl-citation.json"}</w:instrText>
      </w:r>
      <w:r w:rsidRPr="00950924">
        <w:rPr>
          <w:rFonts w:ascii="Garamond" w:hAnsi="Garamond"/>
          <w:bCs/>
          <w:iCs/>
          <w:sz w:val="20"/>
          <w:szCs w:val="20"/>
        </w:rPr>
        <w:fldChar w:fldCharType="separate"/>
      </w:r>
      <w:r w:rsidRPr="00950924">
        <w:rPr>
          <w:rFonts w:ascii="Garamond" w:hAnsi="Garamond"/>
          <w:bCs/>
          <w:iCs/>
          <w:sz w:val="20"/>
          <w:szCs w:val="20"/>
          <w:vertAlign w:val="superscript"/>
        </w:rPr>
        <w:t>[14]</w:t>
      </w:r>
      <w:r w:rsidRPr="00950924">
        <w:rPr>
          <w:rFonts w:ascii="Garamond" w:hAnsi="Garamond"/>
          <w:bCs/>
          <w:iCs/>
          <w:sz w:val="20"/>
          <w:szCs w:val="20"/>
        </w:rPr>
        <w:fldChar w:fldCharType="end"/>
      </w:r>
      <w:r w:rsidRPr="00950924">
        <w:rPr>
          <w:rFonts w:ascii="Garamond" w:hAnsi="Garamond"/>
          <w:bCs/>
          <w:iCs/>
          <w:sz w:val="20"/>
          <w:szCs w:val="20"/>
        </w:rPr>
        <w:t xml:space="preserve"> and Northeast (68.5%).</w:t>
      </w:r>
      <w:r w:rsidRPr="00950924">
        <w:rPr>
          <w:rFonts w:ascii="Garamond" w:hAnsi="Garamond"/>
          <w:bCs/>
          <w:iCs/>
          <w:sz w:val="20"/>
          <w:szCs w:val="20"/>
        </w:rPr>
        <w:fldChar w:fldCharType="begin" w:fldLock="1"/>
      </w:r>
      <w:r w:rsidRPr="00950924">
        <w:rPr>
          <w:rFonts w:ascii="Garamond" w:hAnsi="Garamond"/>
          <w:bCs/>
          <w:iCs/>
          <w:sz w:val="20"/>
          <w:szCs w:val="20"/>
        </w:rPr>
        <w:instrText>ADDIN CSL_CITATION {"citationItems":[{"id":"ITEM-1","itemData":{"DOI":"10.71526/jmwan.v10i2.7","ISSN":"3043-4750","abstract":"Background: Traditional eye medication (TEM) use is widespread in sub-Saharan Africa, particularly in Nigeria, where it remains a major public health concern. This practice remains prevalent among nursing mothers who may use TEM to manage eye conditions either for their infants or themselves. This study assessed the prevalence, types as well as the determinants influencing TEM usage among nursing mothers in Northeast Nigeria.\nMethodology: A hospital-based cross-sectional study was conducted in Bauchi and Taraba states in Northeast Nigeria between November and February 2025. A multistage sampling technique was used for sampling respondents. Four hundred and twenty-two (422) nursing mothers were interviewed using a questionnaire. Thequantitative variables were summarised using mean/median and standard deviation appropriately. Associations between the socio-demographic characteristics and the outcome variables were done using chi-square, and a p-value of &amp;lt;0.05 was considered statistically significant.\nResults: The study found that 68.5% of nursing mothers reported using Traditional Eye Medications (TEM), with 40.5% administering TEM to their children. The most used TEM was breast milk (55.7%), while the commonest indication for TEM use was red eye (161, 55.7%). Factors such as urban residence, occupation (particularly tradersand civil servants), and household income below 150,000 Naira were associated with TEM use.\nConclusion: TEM use remains prevalent among nursing mothers in Northeast Nigeria, with breast milk being the most frequently used form. Public health interventions targeting awareness and eye health education are crucial to addressing this issue and protecting maternal and child eye health.","author":[{"dropping-particle":"","family":"Ibrahim","given":"Yusuf","non-dropping-particle":"","parse-names":false,"suffix":""},{"dropping-particle":"","family":"Ibrahim Abiodun","given":"Yusuf","non-dropping-particle":"","parse-names":false,"suffix":""},{"dropping-particle":"","family":"Kabiru Zailani","given":"Abdulrasaq","non-dropping-particle":"","parse-names":false,"suffix":""},{"dropping-particle":"","family":"Muhammed Yusuf","given":"Tanimu","non-dropping-particle":"","parse-names":false,"suffix":""},{"dropping-particle":"","family":"yabagi","given":"Fatima","non-dropping-particle":"","parse-names":false,"suffix":""},{"dropping-particle":"","family":"Zainab","given":"Umar","non-dropping-particle":"","parse-names":false,"suffix":""},{"dropping-particle":"","family":"Anekoson Joshua","given":"Istifanus","non-dropping-particle":"","parse-names":false,"suffix":""}],"container-title":"Journal of The Medical Women's Association of Nigeria","id":"ITEM-1","issue":"2","issued":{"date-parts":[["2025","8","12"]]},"title":"Prevalence, Types and Determinants of Traditional Eye Medication(TEM) Usage Among Nursing Mothers in Northeast Nigeria","type":"article-journal","volume":"10"},"uris":["http://www.mendeley.com/documents/?uuid=40ee60ff-4992-3c9d-b7e1-1059b37f7fc2"]}],"mendeley":{"formattedCitation":"&lt;sup&gt;[15]&lt;/sup&gt;","plainTextFormattedCitation":"[15]","previouslyFormattedCitation":"&lt;sup&gt;[16]&lt;/sup&gt;"},"properties":{"noteIndex":0},"schema":"https://github.com/citation-style-language/schema/raw/master/csl-citation.json"}</w:instrText>
      </w:r>
      <w:r w:rsidRPr="00950924">
        <w:rPr>
          <w:rFonts w:ascii="Garamond" w:hAnsi="Garamond"/>
          <w:bCs/>
          <w:iCs/>
          <w:sz w:val="20"/>
          <w:szCs w:val="20"/>
        </w:rPr>
        <w:fldChar w:fldCharType="separate"/>
      </w:r>
      <w:r w:rsidRPr="00950924">
        <w:rPr>
          <w:rFonts w:ascii="Garamond" w:hAnsi="Garamond"/>
          <w:bCs/>
          <w:iCs/>
          <w:sz w:val="20"/>
          <w:szCs w:val="20"/>
          <w:vertAlign w:val="superscript"/>
        </w:rPr>
        <w:t>[15]</w:t>
      </w:r>
      <w:r w:rsidRPr="00950924">
        <w:rPr>
          <w:rFonts w:ascii="Garamond" w:hAnsi="Garamond"/>
          <w:bCs/>
          <w:iCs/>
          <w:sz w:val="20"/>
          <w:szCs w:val="20"/>
        </w:rPr>
        <w:fldChar w:fldCharType="end"/>
      </w:r>
      <w:r w:rsidRPr="00950924">
        <w:rPr>
          <w:rFonts w:ascii="Garamond" w:hAnsi="Garamond"/>
          <w:bCs/>
          <w:iCs/>
          <w:sz w:val="20"/>
          <w:szCs w:val="20"/>
        </w:rPr>
        <w:t xml:space="preserve"> Though prevalence of TEM use has been widely studied in various populations, no study has focused on maternal populations with a view to obtaining information on TEM use for children in Onitsha.</w:t>
      </w:r>
      <w:r w:rsidRPr="00950924">
        <w:rPr>
          <w:rFonts w:ascii="Garamond" w:hAnsi="Garamond"/>
          <w:bCs/>
          <w:iCs/>
          <w:sz w:val="20"/>
          <w:szCs w:val="20"/>
        </w:rPr>
        <w:fldChar w:fldCharType="begin" w:fldLock="1"/>
      </w:r>
      <w:r w:rsidRPr="00950924">
        <w:rPr>
          <w:rFonts w:ascii="Garamond" w:hAnsi="Garamond"/>
          <w:bCs/>
          <w:iCs/>
          <w:sz w:val="20"/>
          <w:szCs w:val="20"/>
        </w:rPr>
        <w:instrText>ADDIN CSL_CITATION {"citationItems":[{"id":"ITEM-1","itemData":{"DOI":"10.1177/22799036241243267","ISSN":"22799036","PMID":"38577243","abstract":"Background: Traditional eye medicine (TEM) is becoming more widely used across the world. Depending on the drugs used, TEM usage can be considered harmful or innocuous. The therapy may induce infection or irreparable blindness in the already injured eye. The aim of the study was to determine the proportion of traditional eye medicine practices and associated factors among adult ophthalmic patients attending ophthalmic clinics in the governmental hospitals in the West Bank. Design and methods: A cross-sectional study conducted on 300 patients. The data was collected using a structured, self-administered questionnaire. Results: The results of the study revealed that 65.7% of people use TEM. The most common symptoms that necessitated the use of traditional eye practice were inflammatory symptoms of the eye (49.2%), blurred vision (15.7%), and allergic conjunctivitis (10.7%). The most common TEM used was tea (34.0%), followed by herbal products (25.4%) and vegetable slices (potato, cucumber, and onion) (14.7%). The most traditional eye treatment was the topical route (92.9%). The majority of prescribers of traditional eye practice were traditional healers (48.7%). Furthermore, the current study found that occupation and the income were predictors of using traditional eye practice among ophthalmic patients attending ophthalmic clinics in selected West Bank hospitals. Conclusion: The proportion of traditional eye medicine practice was high among ophthalmic patients in the West Bank. The predictors of using traditional eye treatment were occupation and the income. The most common TEM used was tea, followed by herbal products and vegetable slices (potato, cucumber, and onion).","author":[{"dropping-particle":"","family":"Atawi","given":"Raghda","non-dropping-particle":"","parse-names":false,"suffix":""},{"dropping-particle":"","family":"Ayed","given":"Ahmad","non-dropping-particle":"","parse-names":false,"suffix":""},{"dropping-particle":"","family":"Batran","given":"Ahmad","non-dropping-particle":"","parse-names":false,"suffix":""}],"container-title":"Journal of Public Health Research","id":"ITEM-1","issue":"2","issued":{"date-parts":[["2024","4","1"]]},"page":"22799036241243267","publisher":"SAGE Publications Ltd","title":"Traditional eye medicine practice and its determinant factors among ophthalmic patients in the West Bank","type":"article-journal","volume":"13"},"uris":["http://www.mendeley.com/documents/?uuid=8a4fed3b-f2a6-3689-9474-54fc85c0e645"]},{"id":"ITEM-2","itemData":{"DOI":"10.25259/GJCSRO_29_2023","ISSN":"2835-4974","abstract":"Background/Aim: The use of traditional eye medication (TEM) is an age-long practice whose negative effects on eye health have been well documented. TEM involves the application of different harmful preparations to the eye as a form of treatment. This article is aimed at highlighting the burden of harmful traditional practices on eye care in Nigeria. Methodology: A review of available literature was conducted to summarize the different types of harmful traditional eye practices in Nigeria, including the many different preparations used. Prevalence of harmful traditional practices, determinants, burden in Nigeria. Issues relating to determinants, prevalence, indications for TEM use, presentation of patients with a history of TEM use, ocular complications following TEM use, the pathway to blindness with TEM use, economic burden, and prevention were considered in the review. The prevalence of TEM use was 15.5%, and the common determinants included low socioeconomic status, rural residence, poor access to conventional eye care, and cultural beliefs. The indications for the use of these medications included blurring of vision, red eyes, ocular pain, and itching. Patients who used TEMs presented with various levels of visual impairment (14.5% and 13.1%, respectively, for moderate and severe visual impairment), and 51.3% were reported blind at presentation. The common complications of these agents were corneal scars (opacities), staphylomas, endophthalmitis and panophthalmitis, corneal ulcers and perforations, uveitis, band and bullous keratopathies, complicated cataracts, subluxated lens, and descemetoceles. Conclusion: The prevalence of TEM use, visual impairment, and blindness arising from it is high in Nigeria. The ocular morbidities that follow TEM use constitute a significant burden (economic and otherwise) on eye care delivery in the country. A multipronged approach by stakeholders is required to mitigate the enablers of TEM practice in Nigeria. Furthermore, where there are complications, prompt referral to an ophthalmologist is advocated as they are well-equipped to provide the most appropriate management.","author":[{"dropping-particle":"","family":"Nathaniel","given":"Godswill Inye","non-dropping-particle":"","parse-names":false,"suffix":""},{"dropping-particle":"","family":"Eze","given":"Ugochukwu Anthony","non-dropping-particle":"","parse-names":false,"suffix":""}],"container-title":"Global Journal of Cataract Surgery and Research in Ophthalmology","id":"ITEM-2","issue":"1","issued":{"date-parts":[["2024","5","30"]]},"page":"34-42","publisher":"Scientific Scholar","title":"Harmful traditional eye practices in Nigeria and its burden on eye care: A review of literature","type":"article-journal","volume":"3"},"uris":["http://www.mendeley.com/documents/?uuid=fb37b92d-6a45-3d80-af48-9799c0c77737"]},{"id":"ITEM-3","itemData":{"DOI":"10.1080/27707571.2022.2160581","abstract":"Traditional eye medicine is widely practiced around the world. It is employed by the order of traditional healers or local physicians who are well-known for knowing and practicing the most common t...","author":[{"dropping-particle":"","family":"Eticha","given":"Biruk Lelisa","non-dropping-particle":"","parse-names":false,"suffix":""},{"dropping-particle":"","family":"Assaye","given":"Aragaw Kegne","non-dropping-particle":"","parse-names":false,"suffix":""},{"dropping-particle":"","family":"Alemu","given":"Haile Woretaw","non-dropping-particle":"","parse-names":false,"suffix":""}],"container-title":"Cogent Public Health","id":"ITEM-3","issue":"1","issued":{"date-parts":[["2023","12","31"]]},"publisher":"Cogent","title":"Prevalence of traditional eye medicine use and its associated factors among adult ophthalmic patients in Gondar region of Ethiopia in 2020","type":"article-journal","volume":"10"},"uris":["http://www.mendeley.com/documents/?uuid=0cb2e760-6bbd-3f2b-9728-c13a53226a74"]},{"id":"ITEM-4","itemData":{"DOI":"10.71526/jmwan.v10i2.7","ISSN":"3043-4750","abstract":"Background: Traditional eye medication (TEM) use is widespread in sub-Saharan Africa, particularly in Nigeria, where it remains a major public health concern. This practice remains prevalent among nursing mothers who may use TEM to manage eye conditions either for their infants or themselves. This study assessed the prevalence, types as well as the determinants influencing TEM usage among nursing mothers in Northeast Nigeria.\nMethodology: A hospital-based cross-sectional study was conducted in Bauchi and Taraba states in Northeast Nigeria between November and February 2025. A multistage sampling technique was used for sampling respondents. Four hundred and twenty-two (422) nursing mothers were interviewed using a questionnaire. Thequantitative variables were summarised using mean/median and standard deviation appropriately. Associations between the socio-demographic characteristics and the outcome variables were done using chi-square, and a p-value of &amp;lt;0.05 was considered statistically significant.\nResults: The study found that 68.5% of nursing mothers reported using Traditional Eye Medications (TEM), with 40.5% administering TEM to their children. The most used TEM was breast milk (55.7%), while the commonest indication for TEM use was red eye (161, 55.7%). Factors such as urban residence, occupation (particularly tradersand civil servants), and household income below 150,000 Naira were associated with TEM use.\nConclusion: TEM use remains prevalent among nursing mothers in Northeast Nigeria, with breast milk being the most frequently used form. Public health interventions targeting awareness and eye health education are crucial to addressing this issue and protecting maternal and child eye health.","author":[{"dropping-particle":"","family":"Ibrahim","given":"Yusuf","non-dropping-particle":"","parse-names":false,"suffix":""},{"dropping-particle":"","family":"Ibrahim Abiodun","given":"Yusuf","non-dropping-particle":"","parse-names":false,"suffix":""},{"dropping-particle":"","family":"Kabiru Zailani","given":"Abdulrasaq","non-dropping-particle":"","parse-names":false,"suffix":""},{"dropping-particle":"","family":"Muhammed Yusuf","given":"Tanimu","non-dropping-particle":"","parse-names":false,"suffix":""},{"dropping-particle":"","family":"yabagi","given":"Fatima","non-dropping-particle":"","parse-names":false,"suffix":""},{"dropping-particle":"","family":"Zainab","given":"Umar","non-dropping-particle":"","parse-names":false,"suffix":""},{"dropping-particle":"","family":"Anekoson Joshua","given":"Istifanus","non-dropping-particle":"","parse-names":false,"suffix":""}],"container-title":"Journal of The Medical Women's Association of Nigeria","id":"ITEM-4","issue":"2","issued":{"date-parts":[["2025","8","12"]]},"title":"Prevalence, Types and Determinants of Traditional Eye Medication(TEM) Usage Among Nursing Mothers in Northeast Nigeria","type":"article-journal","volume":"10"},"uris":["http://www.mendeley.com/documents/?uuid=40ee60ff-4992-3c9d-b7e1-1059b37f7fc2"]}],"mendeley":{"formattedCitation":"&lt;sup&gt;[1–3,15]&lt;/sup&gt;","plainTextFormattedCitation":"[1–3,15]","previouslyFormattedCitation":"&lt;sup&gt;[1–3,16]&lt;/sup&gt;"},"properties":{"noteIndex":0},"schema":"https://github.com/citation-style-language/schema/raw/master/csl-citation.json"}</w:instrText>
      </w:r>
      <w:r w:rsidRPr="00950924">
        <w:rPr>
          <w:rFonts w:ascii="Garamond" w:hAnsi="Garamond"/>
          <w:bCs/>
          <w:iCs/>
          <w:sz w:val="20"/>
          <w:szCs w:val="20"/>
        </w:rPr>
        <w:fldChar w:fldCharType="separate"/>
      </w:r>
      <w:r w:rsidRPr="00950924">
        <w:rPr>
          <w:rFonts w:ascii="Garamond" w:hAnsi="Garamond"/>
          <w:bCs/>
          <w:iCs/>
          <w:sz w:val="20"/>
          <w:szCs w:val="20"/>
          <w:vertAlign w:val="superscript"/>
        </w:rPr>
        <w:t>[1–3,15]</w:t>
      </w:r>
      <w:r w:rsidRPr="00950924">
        <w:rPr>
          <w:rFonts w:ascii="Garamond" w:hAnsi="Garamond"/>
          <w:bCs/>
          <w:iCs/>
          <w:sz w:val="20"/>
          <w:szCs w:val="20"/>
        </w:rPr>
        <w:fldChar w:fldCharType="end"/>
      </w:r>
      <w:r w:rsidRPr="00950924">
        <w:rPr>
          <w:rFonts w:ascii="Garamond" w:hAnsi="Garamond"/>
          <w:bCs/>
          <w:iCs/>
          <w:sz w:val="20"/>
          <w:szCs w:val="20"/>
          <w:vertAlign w:val="superscript"/>
        </w:rPr>
        <w:t xml:space="preserve">  </w:t>
      </w:r>
      <w:r w:rsidRPr="00950924">
        <w:rPr>
          <w:rFonts w:ascii="Garamond" w:hAnsi="Garamond"/>
          <w:bCs/>
          <w:iCs/>
          <w:sz w:val="20"/>
          <w:szCs w:val="20"/>
        </w:rPr>
        <w:t>There is also limited immunization-clinic-based maternal data in Southeast Nigeria.</w:t>
      </w:r>
    </w:p>
    <w:p w14:paraId="57D26604"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This study is thus important to determine the use of TEM among mothers of children presenting for immunization. Children in immunization clinics could be at risk of vaccine-preventable infections some of which could affect the eyes such as measles and use of TEM could portend negative outcomes. The immunization clinic is a well-known avenue for transmission of health information concerning children to their mothers.  The aim of this study is to determine the prevalence of TEM use among children attending immunization clinics in Onitsha, to identify the types of traditional eye medicines commonly used, to assess the sociodemographic factors associated with traditional eye medicine use and to describe the reasons cited by mothers for using traditional eye medicines. The findings of this study will be invaluable in planning for eye health education of mothers of children, especially at the immunization clinics, which will contribute greatly to the fight against the use of harmful tradition eye medicines and the protection of the eye health of children. </w:t>
      </w:r>
    </w:p>
    <w:p w14:paraId="295BC7C9" w14:textId="77777777" w:rsidR="00950924" w:rsidRDefault="00950924" w:rsidP="00950924">
      <w:pPr>
        <w:spacing w:line="259" w:lineRule="auto"/>
        <w:jc w:val="both"/>
        <w:rPr>
          <w:rFonts w:ascii="Garamond" w:hAnsi="Garamond"/>
          <w:b/>
          <w:bCs/>
          <w:iCs/>
          <w:sz w:val="20"/>
          <w:szCs w:val="20"/>
        </w:rPr>
      </w:pPr>
    </w:p>
    <w:p w14:paraId="3DA09CCB" w14:textId="61224222" w:rsidR="00950924" w:rsidRPr="00950924" w:rsidRDefault="00691BD8" w:rsidP="00950924">
      <w:pPr>
        <w:spacing w:line="259" w:lineRule="auto"/>
        <w:jc w:val="both"/>
        <w:rPr>
          <w:rFonts w:ascii="Garamond" w:hAnsi="Garamond"/>
          <w:b/>
          <w:bCs/>
          <w:iCs/>
          <w:sz w:val="22"/>
          <w:szCs w:val="22"/>
        </w:rPr>
      </w:pPr>
      <w:r w:rsidRPr="00950924">
        <w:rPr>
          <w:rFonts w:ascii="Garamond" w:hAnsi="Garamond"/>
          <w:b/>
          <w:bCs/>
          <w:iCs/>
          <w:sz w:val="22"/>
          <w:szCs w:val="22"/>
        </w:rPr>
        <w:t>METHODOLOGY</w:t>
      </w:r>
    </w:p>
    <w:p w14:paraId="358DBA20" w14:textId="5493D2D8" w:rsidR="00950924" w:rsidRPr="00691BD8" w:rsidRDefault="00950924" w:rsidP="00950924">
      <w:pPr>
        <w:spacing w:line="259" w:lineRule="auto"/>
        <w:jc w:val="both"/>
        <w:rPr>
          <w:rFonts w:ascii="Garamond" w:hAnsi="Garamond"/>
          <w:bCs/>
          <w:iCs/>
          <w:sz w:val="20"/>
          <w:szCs w:val="20"/>
        </w:rPr>
      </w:pPr>
      <w:r w:rsidRPr="00691BD8">
        <w:rPr>
          <w:rFonts w:ascii="Garamond" w:hAnsi="Garamond"/>
          <w:b/>
          <w:i/>
          <w:sz w:val="20"/>
          <w:szCs w:val="20"/>
        </w:rPr>
        <w:t>Study design and Setting</w:t>
      </w:r>
      <w:r w:rsidR="00691BD8">
        <w:rPr>
          <w:rFonts w:ascii="Garamond" w:hAnsi="Garamond"/>
          <w:b/>
          <w:iCs/>
          <w:sz w:val="20"/>
          <w:szCs w:val="20"/>
        </w:rPr>
        <w:t xml:space="preserve">: </w:t>
      </w:r>
      <w:r w:rsidRPr="00950924">
        <w:rPr>
          <w:rFonts w:ascii="Garamond" w:hAnsi="Garamond"/>
          <w:bCs/>
          <w:iCs/>
          <w:sz w:val="20"/>
          <w:szCs w:val="20"/>
        </w:rPr>
        <w:t>This was a descriptive cross-sectional study of mothers attending immunization clinics for their children at two selected private secondary health facilities in Onitsha, Nigeria. Data collection was conducted over a two-month period, between 1</w:t>
      </w:r>
      <w:r w:rsidRPr="00950924">
        <w:rPr>
          <w:rFonts w:ascii="Garamond" w:hAnsi="Garamond"/>
          <w:bCs/>
          <w:iCs/>
          <w:sz w:val="20"/>
          <w:szCs w:val="20"/>
          <w:vertAlign w:val="superscript"/>
        </w:rPr>
        <w:t>st</w:t>
      </w:r>
      <w:r w:rsidRPr="00950924">
        <w:rPr>
          <w:rFonts w:ascii="Garamond" w:hAnsi="Garamond"/>
          <w:bCs/>
          <w:iCs/>
          <w:sz w:val="20"/>
          <w:szCs w:val="20"/>
        </w:rPr>
        <w:t xml:space="preserve"> April 2025 and 31</w:t>
      </w:r>
      <w:r w:rsidRPr="00950924">
        <w:rPr>
          <w:rFonts w:ascii="Garamond" w:hAnsi="Garamond"/>
          <w:bCs/>
          <w:iCs/>
          <w:sz w:val="20"/>
          <w:szCs w:val="20"/>
          <w:vertAlign w:val="superscript"/>
        </w:rPr>
        <w:t>st</w:t>
      </w:r>
      <w:r w:rsidRPr="00950924">
        <w:rPr>
          <w:rFonts w:ascii="Garamond" w:hAnsi="Garamond"/>
          <w:bCs/>
          <w:iCs/>
          <w:sz w:val="20"/>
          <w:szCs w:val="20"/>
        </w:rPr>
        <w:t xml:space="preserve"> May 2025. Onitsha is a major commercial city located in Southeast, Nigeria with a population of about 1.84 million. The immunization clinics selected provide routine childhood immunization services one day per week with an average attendance of 180 patients per week.</w:t>
      </w:r>
    </w:p>
    <w:p w14:paraId="5BD7CA59" w14:textId="0B180F57" w:rsidR="00950924" w:rsidRPr="00950924" w:rsidRDefault="00950924" w:rsidP="00950924">
      <w:pPr>
        <w:spacing w:line="259" w:lineRule="auto"/>
        <w:jc w:val="both"/>
        <w:rPr>
          <w:rFonts w:ascii="Garamond" w:hAnsi="Garamond"/>
          <w:bCs/>
          <w:iCs/>
          <w:sz w:val="20"/>
          <w:szCs w:val="20"/>
        </w:rPr>
      </w:pPr>
      <w:r w:rsidRPr="00691BD8">
        <w:rPr>
          <w:rFonts w:ascii="Garamond" w:hAnsi="Garamond"/>
          <w:b/>
          <w:i/>
          <w:sz w:val="20"/>
          <w:szCs w:val="20"/>
        </w:rPr>
        <w:t>Study population</w:t>
      </w:r>
      <w:r w:rsidR="00691BD8">
        <w:rPr>
          <w:rFonts w:ascii="Garamond" w:hAnsi="Garamond"/>
          <w:b/>
          <w:iCs/>
          <w:sz w:val="20"/>
          <w:szCs w:val="20"/>
        </w:rPr>
        <w:t xml:space="preserve">: </w:t>
      </w:r>
      <w:r w:rsidRPr="00950924">
        <w:rPr>
          <w:rFonts w:ascii="Garamond" w:hAnsi="Garamond"/>
          <w:bCs/>
          <w:iCs/>
          <w:sz w:val="20"/>
          <w:szCs w:val="20"/>
        </w:rPr>
        <w:t xml:space="preserve">The study population consisted of mothers/caregivers of children aged 0-14 years attending the selected immunization clinics during the </w:t>
      </w:r>
      <w:r w:rsidRPr="00950924">
        <w:rPr>
          <w:rFonts w:ascii="Garamond" w:hAnsi="Garamond"/>
          <w:bCs/>
          <w:iCs/>
          <w:sz w:val="20"/>
          <w:szCs w:val="20"/>
        </w:rPr>
        <w:lastRenderedPageBreak/>
        <w:t>study period. Inclusion criteria were (1) mothers or primary care givers of children aged between 0 and 14 years (2) presenting for immunization at the immunization clinics during the data collection period. The upper limit of 14 years was chosen to accommodate children receiving the recently introduced Human Papilloma virus immunization and those for catch-up immunization.  (3) Willingness to give consent. Exclusion criteria (1) mothers who were too ill to participate, (2) mother who were not the primary care givers of the children (3) mother who had been previously enrolled in the study.</w:t>
      </w:r>
    </w:p>
    <w:p w14:paraId="007AA61B"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Sample size determination</w:t>
      </w:r>
    </w:p>
    <w:p w14:paraId="7C431141"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The sample size was calculated using the Cochran formula for sample size for proportions</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{"citationItems":[{"id":"ITEM-1","itemData":{"abstract":"The determination of sample size is a common task for many organizational researchers. Inappropriate, inadequate, or excessive sample sizes continue to influence the quality and accuracy of research. This manuscript describes the procedures for determining sample size for continuous and categorical variables using Cochran's (1977) formulas. A discussion and illustration of sample size formulas, including the formula for adjusting the sample size for smaller populations, is included. A table is provided that can be used to select the sample size for a research problem based on three alpha levels and a set error rate. Procedures for determining the appropriate sample size for multiple regression and factor analysis, and common issues in sample size determination are examined. Non-respondent sampling issues are addressed.","author":[{"dropping-particle":"","family":"Bartlett","given":"James E","non-dropping-particle":"","parse-names":false,"suffix":""},{"dropping-particle":"","family":"Kotrlik","given":"Joe W","non-dropping-particle":"","parse-names":false,"suffix":""},{"dropping-particle":"","family":"Higgins","given":"Chadwick C","non-dropping-particle":"","parse-names":false,"suffix":""}],"container-title":"Information Technology, Learning, and Performance Journal","id":"ITEM-1","issue":"1","issued":{"date-parts":[["2001"]]},"page":"43-50","title":"Organizational Research: Determining Organizational Research: Determining Appropriate Sample Size in Survey Research Appropriate Sample Size in Survey Research","type":"article-journal","volume":"19"},"uris":["http://www.mendeley.com/documents/?uuid=f987e5d8-8223-3969-87fe-31cf3e0e8ace"]}],"mendeley":{"formattedCitation":"&lt;sup&gt;[16]&lt;/sup&gt;","plainTextFormattedCitation":"[16]","previouslyFormattedCitation":"&lt;sup&gt;[17]&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[16]</w:t>
      </w:r>
      <w:r w:rsidRPr="00950924">
        <w:rPr>
          <w:rFonts w:ascii="Garamond" w:hAnsi="Garamond"/>
          <w:bCs/>
          <w:iCs/>
          <w:sz w:val="20"/>
          <w:szCs w:val="20"/>
        </w:rPr>
        <w:fldChar w:fldCharType="end"/>
      </w:r>
      <w:r w:rsidRPr="00950924">
        <w:rPr>
          <w:rFonts w:ascii="Garamond" w:hAnsi="Garamond"/>
          <w:bCs/>
          <w:iCs/>
          <w:sz w:val="20"/>
          <w:szCs w:val="20"/>
        </w:rPr>
        <w:t xml:space="preserve"> as follows:</w:t>
      </w:r>
    </w:p>
    <w:p w14:paraId="33F9D457"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n = Z2pq/d2 </w:t>
      </w:r>
    </w:p>
    <w:p w14:paraId="1253D803" w14:textId="3511315B"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Where</w:t>
      </w:r>
      <w:r w:rsidR="00691BD8">
        <w:rPr>
          <w:rFonts w:ascii="Garamond" w:hAnsi="Garamond"/>
          <w:bCs/>
          <w:iCs/>
          <w:sz w:val="20"/>
          <w:szCs w:val="20"/>
        </w:rPr>
        <w:t>:</w:t>
      </w:r>
    </w:p>
    <w:p w14:paraId="3592ACBA"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n = minimum sample size  </w:t>
      </w:r>
    </w:p>
    <w:p w14:paraId="56F939E7"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Z = the normal deviation at 95% confidence interval (1.96)</w:t>
      </w:r>
    </w:p>
    <w:p w14:paraId="322F470F"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p = expected proportion  (40.5%) based on a previous study of mothers TEM use on their children.</w:t>
      </w:r>
      <w:r w:rsidRPr="00950924">
        <w:rPr>
          <w:rFonts w:ascii="Garamond" w:hAnsi="Garamond"/>
          <w:bCs/>
          <w:iCs/>
          <w:sz w:val="20"/>
          <w:szCs w:val="20"/>
        </w:rPr>
        <w:fldChar w:fldCharType="begin" w:fldLock="1"/>
      </w:r>
      <w:r w:rsidRPr="00950924">
        <w:rPr>
          <w:rFonts w:ascii="Garamond" w:hAnsi="Garamond"/>
          <w:bCs/>
          <w:iCs/>
          <w:sz w:val="20"/>
          <w:szCs w:val="20"/>
        </w:rPr>
        <w:instrText>ADDIN CSL_CITATION {"citationItems":[{"id":"ITEM-1","itemData":{"DOI":"10.71526/jmwan.v10i2.7","ISSN":"3043-4750","abstract":"Background: Traditional eye medication (TEM) use is widespread in sub-Saharan Africa, particularly in Nigeria, where it remains a major public health concern. This practice remains prevalent among nursing mothers who may use TEM to manage eye conditions either for their infants or themselves. This study assessed the prevalence, types as well as the determinants influencing TEM usage among nursing mothers in Northeast Nigeria.\nMethodology: A hospital-based cross-sectional study was conducted in Bauchi and Taraba states in Northeast Nigeria between November and February 2025. A multistage sampling technique was used for sampling respondents. Four hundred and twenty-two (422) nursing mothers were interviewed using a questionnaire. Thequantitative variables were summarised using mean/median and standard deviation appropriately. Associations between the socio-demographic characteristics and the outcome variables were done using chi-square, and a p-value of &amp;lt;0.05 was considered statistically significant.\nResults: The study found that 68.5% of nursing mothers reported using Traditional Eye Medications (TEM), with 40.5% administering TEM to their children. The most used TEM was breast milk (55.7%), while the commonest indication for TEM use was red eye (161, 55.7%). Factors such as urban residence, occupation (particularly tradersand civil servants), and household income below 150,000 Naira were associated with TEM use.\nConclusion: TEM use remains prevalent among nursing mothers in Northeast Nigeria, with breast milk being the most frequently used form. Public health interventions targeting awareness and eye health education are crucial to addressing this issue and protecting maternal and child eye health.","author":[{"dropping-particle":"","family":"Ibrahim","given":"Yusuf","non-dropping-particle":"","parse-names":false,"suffix":""},{"dropping-particle":"","family":"Ibrahim Abiodun","given":"Yusuf","non-dropping-particle":"","parse-names":false,"suffix":""},{"dropping-particle":"","family":"Kabiru Zailani","given":"Abdulrasaq","non-dropping-particle":"","parse-names":false,"suffix":""},{"dropping-particle":"","family":"Muhammed Yusuf","given":"Tanimu","non-dropping-particle":"","parse-names":false,"suffix":""},{"dropping-particle":"","family":"yabagi","given":"Fatima","non-dropping-particle":"","parse-names":false,"suffix":""},{"dropping-particle":"","family":"Zainab","given":"Umar","non-dropping-particle":"","parse-names":false,"suffix":""},{"dropping-particle":"","family":"Anekoson Joshua","given":"Istifanus","non-dropping-particle":"","parse-names":false,"suffix":""}],"container-title":"Journal of The Medical Women's Association of Nigeria","id":"ITEM-1","issue":"2","issued":{"date-parts":[["2025","8","12"]]},"title":"Prevalence, Types and Determinants of Traditional Eye Medication(TEM) Usage Among Nursing Mothers in Northeast Nigeria","type":"article-journal","volume":"10"},"uris":["http://www.mendeley.com/documents/?uuid=40ee60ff-4992-3c9d-b7e1-1059b37f7fc2"]}],"mendeley":{"formattedCitation":"&lt;sup&gt;[15]&lt;/sup&gt;","plainTextFormattedCitation":"[15]","previouslyFormattedCitation":"&lt;sup&gt;[16]&lt;/sup&gt;"},"properties":{"noteIndex":0},"schema":"https://github.com/citation-style-language/schema/raw/master/csl-citation.json"}</w:instrText>
      </w:r>
      <w:r w:rsidRPr="00950924">
        <w:rPr>
          <w:rFonts w:ascii="Garamond" w:hAnsi="Garamond"/>
          <w:bCs/>
          <w:iCs/>
          <w:sz w:val="20"/>
          <w:szCs w:val="20"/>
        </w:rPr>
        <w:fldChar w:fldCharType="separate"/>
      </w:r>
      <w:r w:rsidRPr="00950924">
        <w:rPr>
          <w:rFonts w:ascii="Garamond" w:hAnsi="Garamond"/>
          <w:bCs/>
          <w:iCs/>
          <w:sz w:val="20"/>
          <w:szCs w:val="20"/>
          <w:vertAlign w:val="superscript"/>
        </w:rPr>
        <w:t>[15]</w:t>
      </w:r>
      <w:r w:rsidRPr="00950924">
        <w:rPr>
          <w:rFonts w:ascii="Garamond" w:hAnsi="Garamond"/>
          <w:bCs/>
          <w:iCs/>
          <w:sz w:val="20"/>
          <w:szCs w:val="20"/>
        </w:rPr>
        <w:fldChar w:fldCharType="end"/>
      </w:r>
    </w:p>
    <w:p w14:paraId="5AC5D2C1"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q = 1 – p</w:t>
      </w:r>
    </w:p>
    <w:p w14:paraId="72331AD0"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d = absolute error or precision (was set at 5% or 0.05)</w:t>
      </w:r>
    </w:p>
    <w:p w14:paraId="2D98A290"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To calculate n</w:t>
      </w:r>
    </w:p>
    <w:p w14:paraId="53A131AC"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(1.962 x 0.405 x 0.595)/0.052</w:t>
      </w:r>
    </w:p>
    <w:p w14:paraId="69FB78A3"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0.9257/0.0025 </w:t>
      </w:r>
    </w:p>
    <w:p w14:paraId="6F4FE74B"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n = 370.28 ≈ 370 </w:t>
      </w:r>
    </w:p>
    <w:p w14:paraId="67691F88"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Information obtained from the clinic records showed an average weekly clinic attendance of 100 and 80 respectively for both facilities giving a combined average attendance of 180. Eight clinics days were run during the study period, giving an estimated total population of 1440. </w:t>
      </w:r>
    </w:p>
    <w:p w14:paraId="46EB84D7"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Cochran correction for a small population was applied (since sample size &gt;5% of the population) using the following formula: </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{"citationItems":[{"id":"ITEM-1","itemData":{"abstract":"The determination of sample size is a common task for many organizational researchers. Inappropriate, inadequate, or excessive sample sizes continue to influence the quality and accuracy of research. This manuscript describes the procedures for determining sample size for continuous and categorical variables using Cochran's (1977) formulas. A discussion and illustration of sample size formulas, including the formula for adjusting the sample size for smaller populations, is included. A table is provided that can be used to select the sample size for a research problem based on three alpha levels and a set error rate. Procedures for determining the appropriate sample size for multiple regression and factor analysis, and common issues in sample size determination are examined. Non-respondent sampling issues are addressed.","author":[{"dropping-particle":"","family":"Bartlett","given":"James E","non-dropping-particle":"","parse-names":false,"suffix":""},{"dropping-particle":"","family":"Kotrlik","given":"Joe W","non-dropping-particle":"","parse-names":false,"suffix":""},{"dropping-particle":"","family":"Higgins","given":"Chadwick C","non-dropping-particle":"","parse-names":false,"suffix":""}],"container-title":"Information Technology, Learning, and Performance Journal","id":"ITEM-1","issue":"1","issued":{"date-parts":[["2001"]]},"page":"43-50","title":"Organizational Research: Determining Organizational Research: Determining Appropriate Sample Size in Survey Research Appropriate Sample Size in Survey Research","type":"article-journal","volume":"19"},"uris":["http://www.mendeley.com/documents/?uuid=f987e5d8-8223-3969-87fe-31cf3e0e8ace"]}],"mendeley":{"formattedCitation":"&lt;sup&gt;[16]&lt;/sup&gt;","plainTextFormattedCitation":"[16]","previouslyFormattedCitation":"&lt;sup&gt;[17]&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[16]</w:t>
      </w:r>
      <w:r w:rsidRPr="00950924">
        <w:rPr>
          <w:rFonts w:ascii="Garamond" w:hAnsi="Garamond"/>
          <w:bCs/>
          <w:iCs/>
          <w:sz w:val="20"/>
          <w:szCs w:val="20"/>
        </w:rPr>
        <w:fldChar w:fldCharType="end"/>
      </w:r>
    </w:p>
    <w:p w14:paraId="5453FD2D" w14:textId="77777777" w:rsidR="00950924" w:rsidRPr="00950924" w:rsidRDefault="00950924" w:rsidP="00950924">
      <w:pPr>
        <w:spacing w:line="259" w:lineRule="auto"/>
        <w:jc w:val="both"/>
        <w:rPr>
          <w:rFonts w:ascii="Garamond" w:hAnsi="Garamond"/>
          <w:bCs/>
          <w:iCs/>
          <w:sz w:val="20"/>
          <w:szCs w:val="20"/>
        </w:rPr>
      </w:pPr>
      <w:proofErr w:type="spellStart"/>
      <w:r w:rsidRPr="00950924">
        <w:rPr>
          <w:rFonts w:ascii="Garamond" w:hAnsi="Garamond"/>
          <w:bCs/>
          <w:iCs/>
          <w:sz w:val="20"/>
          <w:szCs w:val="20"/>
        </w:rPr>
        <w:t>nf</w:t>
      </w:r>
      <w:proofErr w:type="spellEnd"/>
      <w:r w:rsidRPr="00950924">
        <w:rPr>
          <w:rFonts w:ascii="Garamond" w:hAnsi="Garamond"/>
          <w:bCs/>
          <w:iCs/>
          <w:sz w:val="20"/>
          <w:szCs w:val="20"/>
        </w:rPr>
        <w:t xml:space="preserve"> = n</w:t>
      </w:r>
      <w:proofErr w:type="gramStart"/>
      <w:r w:rsidRPr="00950924">
        <w:rPr>
          <w:rFonts w:ascii="Garamond" w:hAnsi="Garamond"/>
          <w:bCs/>
          <w:iCs/>
          <w:sz w:val="20"/>
          <w:szCs w:val="20"/>
        </w:rPr>
        <w:t>/[</w:t>
      </w:r>
      <w:proofErr w:type="gramEnd"/>
      <w:r w:rsidRPr="00950924">
        <w:rPr>
          <w:rFonts w:ascii="Garamond" w:hAnsi="Garamond"/>
          <w:bCs/>
          <w:iCs/>
          <w:sz w:val="20"/>
          <w:szCs w:val="20"/>
        </w:rPr>
        <w:t>1+ (n/N)]</w:t>
      </w:r>
    </w:p>
    <w:p w14:paraId="352495B8" w14:textId="06B3E63D"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Where</w:t>
      </w:r>
      <w:r w:rsidR="00691BD8">
        <w:rPr>
          <w:rFonts w:ascii="Garamond" w:hAnsi="Garamond"/>
          <w:bCs/>
          <w:iCs/>
          <w:sz w:val="20"/>
          <w:szCs w:val="20"/>
        </w:rPr>
        <w:t>:</w:t>
      </w:r>
    </w:p>
    <w:p w14:paraId="57907CAC"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w:t>
      </w:r>
      <w:proofErr w:type="spellStart"/>
      <w:r w:rsidRPr="00950924">
        <w:rPr>
          <w:rFonts w:ascii="Garamond" w:hAnsi="Garamond"/>
          <w:bCs/>
          <w:iCs/>
          <w:sz w:val="20"/>
          <w:szCs w:val="20"/>
        </w:rPr>
        <w:t>nf</w:t>
      </w:r>
      <w:proofErr w:type="spellEnd"/>
      <w:r w:rsidRPr="00950924">
        <w:rPr>
          <w:rFonts w:ascii="Garamond" w:hAnsi="Garamond"/>
          <w:bCs/>
          <w:iCs/>
          <w:sz w:val="20"/>
          <w:szCs w:val="20"/>
        </w:rPr>
        <w:t xml:space="preserve"> = adjusted sample size for small population</w:t>
      </w:r>
    </w:p>
    <w:p w14:paraId="5D0BC19A"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n = minimum sample size as calculated above</w:t>
      </w:r>
    </w:p>
    <w:p w14:paraId="270F1919"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N = population size</w:t>
      </w:r>
    </w:p>
    <w:p w14:paraId="094299FE"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370/ 1+ (370/1440)</w:t>
      </w:r>
    </w:p>
    <w:p w14:paraId="5B1A6ACE"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=370/1 +0.2570</w:t>
      </w:r>
    </w:p>
    <w:p w14:paraId="1F805042"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=370/1.2570</w:t>
      </w:r>
    </w:p>
    <w:p w14:paraId="1893AB47"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294.35 ≈ 294</w:t>
      </w:r>
    </w:p>
    <w:p w14:paraId="741E7837"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Adjustment was made for non-response by adding 10% of the sample size as follows 294 +29, giving a sample size of 323</w:t>
      </w:r>
    </w:p>
    <w:p w14:paraId="48B21B35" w14:textId="5E9309CF" w:rsidR="00950924" w:rsidRPr="00950924" w:rsidRDefault="00950924" w:rsidP="00950924">
      <w:pPr>
        <w:spacing w:line="259" w:lineRule="auto"/>
        <w:jc w:val="both"/>
        <w:rPr>
          <w:rFonts w:ascii="Garamond" w:hAnsi="Garamond"/>
          <w:bCs/>
          <w:iCs/>
          <w:sz w:val="20"/>
          <w:szCs w:val="20"/>
          <w:lang w:val="en-GB"/>
        </w:rPr>
      </w:pPr>
      <w:r w:rsidRPr="00691BD8">
        <w:rPr>
          <w:rFonts w:ascii="Garamond" w:hAnsi="Garamond"/>
          <w:b/>
          <w:i/>
          <w:sz w:val="20"/>
          <w:szCs w:val="20"/>
        </w:rPr>
        <w:t>Sampling Technique:</w:t>
      </w:r>
      <w:r w:rsidR="00691BD8">
        <w:rPr>
          <w:rFonts w:ascii="Garamond" w:hAnsi="Garamond"/>
          <w:b/>
          <w:iCs/>
          <w:sz w:val="20"/>
          <w:szCs w:val="20"/>
        </w:rPr>
        <w:t xml:space="preserve"> </w:t>
      </w:r>
      <w:r w:rsidRPr="00950924">
        <w:rPr>
          <w:rFonts w:ascii="Garamond" w:hAnsi="Garamond"/>
          <w:bCs/>
          <w:iCs/>
          <w:sz w:val="20"/>
          <w:szCs w:val="20"/>
        </w:rPr>
        <w:t>Multistage sampling technique was used to select participants. In the first stage, two secondary health facilities were randomly selected by ballot method out of 14. Then</w:t>
      </w:r>
      <w:r w:rsidRPr="00950924">
        <w:rPr>
          <w:rFonts w:ascii="Garamond" w:hAnsi="Garamond"/>
          <w:bCs/>
          <w:iCs/>
          <w:sz w:val="20"/>
          <w:szCs w:val="20"/>
          <w:lang w:val="en-GB"/>
        </w:rPr>
        <w:t xml:space="preserve"> sample size (323) was shared proportionately in the ratio of 100:80 between the selected facilities, based on their population sizes, giving 179 and 144 respectively for both facilities. </w:t>
      </w:r>
      <w:r w:rsidRPr="00950924">
        <w:rPr>
          <w:rFonts w:ascii="Garamond" w:hAnsi="Garamond"/>
          <w:bCs/>
          <w:iCs/>
          <w:sz w:val="20"/>
          <w:szCs w:val="20"/>
        </w:rPr>
        <w:t xml:space="preserve"> The next stage involved s</w:t>
      </w:r>
      <w:proofErr w:type="spellStart"/>
      <w:r w:rsidRPr="00950924">
        <w:rPr>
          <w:rFonts w:ascii="Garamond" w:hAnsi="Garamond"/>
          <w:bCs/>
          <w:iCs/>
          <w:sz w:val="20"/>
          <w:szCs w:val="20"/>
          <w:lang w:val="en-GB"/>
        </w:rPr>
        <w:t>ystematic</w:t>
      </w:r>
      <w:proofErr w:type="spellEnd"/>
      <w:r w:rsidRPr="00950924">
        <w:rPr>
          <w:rFonts w:ascii="Garamond" w:hAnsi="Garamond"/>
          <w:bCs/>
          <w:iCs/>
          <w:sz w:val="20"/>
          <w:szCs w:val="20"/>
          <w:lang w:val="en-GB"/>
        </w:rPr>
        <w:t xml:space="preserve"> random sampling. A sampling interval of 4 obtained by dividing the total population (1440) by the sample size (323) was used to select participants from the immunization clinics at the health facilities.  The sampling frame from which participants were selected was made from the list of patients for each immunization clinic day over the two-month period. The sampling frame was verified by crosschecking the list with patients present.  The list was numbered consecutively from the number 1. The first participant was selected by randomly selecting a number between 1 and 4 using the ballot method and subsequent participants were selected by successively adding the number 4 to this number picked and participants with the corresponding numbers on the list were selected. Ineligible participants were replaced by selecting the next number. Hospital cards of enrolled participants were marked to avoid double enrolment. </w:t>
      </w:r>
    </w:p>
    <w:p w14:paraId="70CAA61A" w14:textId="49EC21B7" w:rsidR="00950924" w:rsidRPr="00691BD8" w:rsidRDefault="00950924" w:rsidP="00950924">
      <w:pPr>
        <w:spacing w:line="259" w:lineRule="auto"/>
        <w:jc w:val="both"/>
        <w:rPr>
          <w:rFonts w:ascii="Garamond" w:hAnsi="Garamond"/>
          <w:bCs/>
          <w:iCs/>
          <w:sz w:val="20"/>
          <w:szCs w:val="20"/>
          <w:lang w:val="en-GB"/>
        </w:rPr>
      </w:pPr>
      <w:r w:rsidRPr="00950924">
        <w:rPr>
          <w:rFonts w:ascii="Garamond" w:hAnsi="Garamond"/>
          <w:bCs/>
          <w:iCs/>
          <w:sz w:val="20"/>
          <w:szCs w:val="20"/>
          <w:lang w:val="en-GB"/>
        </w:rPr>
        <w:t xml:space="preserve">Although the calculated sample size was 323, 360 questionnaires were used, to enhance precision, coverage and accommodate non-response. </w:t>
      </w:r>
    </w:p>
    <w:p w14:paraId="7EB2EA86" w14:textId="09F20984" w:rsidR="00950924" w:rsidRPr="00950924" w:rsidRDefault="00950924" w:rsidP="00950924">
      <w:pPr>
        <w:spacing w:line="259" w:lineRule="auto"/>
        <w:jc w:val="both"/>
        <w:rPr>
          <w:rFonts w:ascii="Garamond" w:hAnsi="Garamond"/>
          <w:bCs/>
          <w:iCs/>
          <w:sz w:val="20"/>
          <w:szCs w:val="20"/>
        </w:rPr>
      </w:pPr>
      <w:r w:rsidRPr="00691BD8">
        <w:rPr>
          <w:rFonts w:ascii="Garamond" w:hAnsi="Garamond"/>
          <w:b/>
          <w:i/>
          <w:sz w:val="20"/>
          <w:szCs w:val="20"/>
          <w:lang w:val="en-GB"/>
        </w:rPr>
        <w:t>Study collection instrument</w:t>
      </w:r>
      <w:r w:rsidR="00691BD8">
        <w:rPr>
          <w:rFonts w:ascii="Garamond" w:hAnsi="Garamond"/>
          <w:b/>
          <w:iCs/>
          <w:sz w:val="20"/>
          <w:szCs w:val="20"/>
          <w:lang w:val="en-GB"/>
        </w:rPr>
        <w:t xml:space="preserve">: </w:t>
      </w:r>
      <w:r w:rsidRPr="00950924">
        <w:rPr>
          <w:rFonts w:ascii="Garamond" w:hAnsi="Garamond"/>
          <w:bCs/>
          <w:iCs/>
          <w:sz w:val="20"/>
          <w:szCs w:val="20"/>
        </w:rPr>
        <w:t>Data collection was done using a structured, pre-tested, interviewer-administered questionnaire.  The questionnaire was developed based on review of relevant literature and consisted of two sections:</w:t>
      </w:r>
    </w:p>
    <w:p w14:paraId="30DC08DF" w14:textId="77777777" w:rsidR="00950924" w:rsidRPr="00950924" w:rsidRDefault="00950924" w:rsidP="00950924">
      <w:pPr>
        <w:spacing w:line="259" w:lineRule="auto"/>
        <w:jc w:val="both"/>
        <w:rPr>
          <w:rFonts w:ascii="Garamond" w:hAnsi="Garamond"/>
          <w:bCs/>
          <w:iCs/>
          <w:sz w:val="20"/>
          <w:szCs w:val="20"/>
        </w:rPr>
      </w:pPr>
      <w:r w:rsidRPr="00691BD8">
        <w:rPr>
          <w:rFonts w:ascii="Garamond" w:hAnsi="Garamond"/>
          <w:bCs/>
          <w:i/>
          <w:sz w:val="20"/>
          <w:szCs w:val="20"/>
        </w:rPr>
        <w:t>Section A:</w:t>
      </w:r>
      <w:r w:rsidRPr="00950924">
        <w:rPr>
          <w:rFonts w:ascii="Garamond" w:hAnsi="Garamond"/>
          <w:bCs/>
          <w:iCs/>
          <w:sz w:val="20"/>
          <w:szCs w:val="20"/>
        </w:rPr>
        <w:t xml:space="preserve"> Sociodemographic characteristics such as mother’s age, occupation, highest educational attainment, child’s age and birth order.</w:t>
      </w:r>
    </w:p>
    <w:p w14:paraId="044D25F6" w14:textId="77777777" w:rsidR="00950924" w:rsidRPr="00950924" w:rsidRDefault="00950924" w:rsidP="00950924">
      <w:pPr>
        <w:spacing w:line="259" w:lineRule="auto"/>
        <w:jc w:val="both"/>
        <w:rPr>
          <w:rFonts w:ascii="Garamond" w:hAnsi="Garamond"/>
          <w:bCs/>
          <w:iCs/>
          <w:sz w:val="20"/>
          <w:szCs w:val="20"/>
        </w:rPr>
      </w:pPr>
      <w:r w:rsidRPr="00691BD8">
        <w:rPr>
          <w:rFonts w:ascii="Garamond" w:hAnsi="Garamond"/>
          <w:bCs/>
          <w:i/>
          <w:sz w:val="20"/>
          <w:szCs w:val="20"/>
        </w:rPr>
        <w:t>Section B:</w:t>
      </w:r>
      <w:r w:rsidRPr="00950924">
        <w:rPr>
          <w:rFonts w:ascii="Garamond" w:hAnsi="Garamond"/>
          <w:bCs/>
          <w:iCs/>
          <w:sz w:val="20"/>
          <w:szCs w:val="20"/>
        </w:rPr>
        <w:t xml:space="preserve"> The use of TEM for their children, type of TEM used, indications and reasons for TEM use, source of advice and practice of donation of breast milk for eye problems. An Igbo (local language) version of the question was used for those that could not communicate in English. The questionnaire was translated and back-translated by a linguist to ensure retention of meaning. Pretesting was done with 30 mothers from an immunization clinic in a secondary health facility that was not involved in the study. The questionnaire was modified for clarity and comprehensibility before data collection.</w:t>
      </w:r>
    </w:p>
    <w:p w14:paraId="3C921543" w14:textId="77777777" w:rsidR="00950924" w:rsidRDefault="00950924" w:rsidP="00950924">
      <w:pPr>
        <w:spacing w:line="259" w:lineRule="auto"/>
        <w:jc w:val="both"/>
        <w:rPr>
          <w:rFonts w:ascii="Garamond" w:hAnsi="Garamond"/>
          <w:b/>
          <w:iCs/>
          <w:sz w:val="20"/>
          <w:szCs w:val="20"/>
        </w:rPr>
      </w:pPr>
    </w:p>
    <w:p w14:paraId="1DB90AB9" w14:textId="3E9A895F" w:rsidR="00950924" w:rsidRPr="00691BD8" w:rsidRDefault="00950924" w:rsidP="00950924">
      <w:pPr>
        <w:spacing w:line="259" w:lineRule="auto"/>
        <w:jc w:val="both"/>
        <w:rPr>
          <w:rFonts w:ascii="Garamond" w:hAnsi="Garamond"/>
          <w:bCs/>
          <w:iCs/>
          <w:sz w:val="20"/>
          <w:szCs w:val="20"/>
        </w:rPr>
      </w:pPr>
      <w:r w:rsidRPr="00691BD8">
        <w:rPr>
          <w:rFonts w:ascii="Garamond" w:hAnsi="Garamond"/>
          <w:b/>
          <w:i/>
          <w:sz w:val="20"/>
          <w:szCs w:val="20"/>
        </w:rPr>
        <w:lastRenderedPageBreak/>
        <w:t>Definition of key variables</w:t>
      </w:r>
      <w:r w:rsidR="00691BD8" w:rsidRPr="00691BD8">
        <w:rPr>
          <w:rFonts w:ascii="Garamond" w:hAnsi="Garamond"/>
          <w:b/>
          <w:i/>
          <w:sz w:val="20"/>
          <w:szCs w:val="20"/>
        </w:rPr>
        <w:t>:</w:t>
      </w:r>
      <w:r w:rsidR="00691BD8">
        <w:rPr>
          <w:rFonts w:ascii="Garamond" w:hAnsi="Garamond"/>
          <w:b/>
          <w:iCs/>
          <w:sz w:val="20"/>
          <w:szCs w:val="20"/>
        </w:rPr>
        <w:t xml:space="preserve"> </w:t>
      </w:r>
      <w:r w:rsidRPr="00950924">
        <w:rPr>
          <w:rFonts w:ascii="Garamond" w:hAnsi="Garamond"/>
          <w:bCs/>
          <w:iCs/>
          <w:sz w:val="20"/>
          <w:szCs w:val="20"/>
        </w:rPr>
        <w:t>Traditional Eye Medicine (TEM) use was defined as the administration of any herbal, mineral, or chemical substance not prescribed by a qualified healthcare professional into a child's eye for therapeutic purposes. TEMs include plant products (herbal extracts, roots, leaves), animal products (breast milk, urine, saliva), and chemical substances (kerosene, battery water, salt solutions). TEM use was assessed by asking: 'Have you ever used any traditional/herbal remedy in your child's eyes?</w:t>
      </w:r>
    </w:p>
    <w:p w14:paraId="6415A3E3" w14:textId="309B3733" w:rsidR="00950924" w:rsidRPr="00691BD8" w:rsidRDefault="00950924" w:rsidP="00950924">
      <w:pPr>
        <w:spacing w:line="259" w:lineRule="auto"/>
        <w:jc w:val="both"/>
        <w:rPr>
          <w:rFonts w:ascii="Garamond" w:hAnsi="Garamond"/>
          <w:bCs/>
          <w:iCs/>
          <w:sz w:val="20"/>
          <w:szCs w:val="20"/>
        </w:rPr>
      </w:pPr>
      <w:r w:rsidRPr="00691BD8">
        <w:rPr>
          <w:rFonts w:ascii="Garamond" w:hAnsi="Garamond"/>
          <w:b/>
          <w:i/>
          <w:sz w:val="20"/>
          <w:szCs w:val="20"/>
        </w:rPr>
        <w:t>Data Collection Procedure</w:t>
      </w:r>
      <w:r w:rsidR="00691BD8" w:rsidRPr="00691BD8">
        <w:rPr>
          <w:rFonts w:ascii="Garamond" w:hAnsi="Garamond"/>
          <w:b/>
          <w:i/>
          <w:sz w:val="20"/>
          <w:szCs w:val="20"/>
        </w:rPr>
        <w:t>:</w:t>
      </w:r>
      <w:r w:rsidR="00691BD8">
        <w:rPr>
          <w:rFonts w:ascii="Garamond" w:hAnsi="Garamond"/>
          <w:b/>
          <w:iCs/>
          <w:sz w:val="20"/>
          <w:szCs w:val="20"/>
        </w:rPr>
        <w:t xml:space="preserve"> </w:t>
      </w:r>
      <w:r w:rsidRPr="00950924">
        <w:rPr>
          <w:rFonts w:ascii="Garamond" w:hAnsi="Garamond"/>
          <w:bCs/>
          <w:iCs/>
          <w:sz w:val="20"/>
          <w:szCs w:val="20"/>
        </w:rPr>
        <w:t>Data were collected by two trained research assistants who were health professionals. Mothers were approached after their children had received immunization services. The purpose of the study was explained, and written informed consent was obtained. Interviews were conducted in a private area to ensure confidentiality. Each interview lasted approximately 15 minutes.</w:t>
      </w:r>
    </w:p>
    <w:p w14:paraId="6279FC5D" w14:textId="63F9CA61" w:rsidR="00950924" w:rsidRPr="00950924" w:rsidRDefault="00950924" w:rsidP="00950924">
      <w:pPr>
        <w:spacing w:line="259" w:lineRule="auto"/>
        <w:jc w:val="both"/>
        <w:rPr>
          <w:rFonts w:ascii="Garamond" w:hAnsi="Garamond"/>
          <w:bCs/>
          <w:iCs/>
          <w:sz w:val="20"/>
          <w:szCs w:val="20"/>
        </w:rPr>
      </w:pPr>
      <w:r w:rsidRPr="00691BD8">
        <w:rPr>
          <w:rFonts w:ascii="Garamond" w:hAnsi="Garamond"/>
          <w:b/>
          <w:i/>
          <w:sz w:val="20"/>
          <w:szCs w:val="20"/>
        </w:rPr>
        <w:t>Data Analysis</w:t>
      </w:r>
      <w:r w:rsidR="00691BD8" w:rsidRPr="00691BD8">
        <w:rPr>
          <w:rFonts w:ascii="Garamond" w:hAnsi="Garamond"/>
          <w:b/>
          <w:i/>
          <w:sz w:val="20"/>
          <w:szCs w:val="20"/>
        </w:rPr>
        <w:t>:</w:t>
      </w:r>
      <w:r w:rsidR="00691BD8">
        <w:rPr>
          <w:rFonts w:ascii="Garamond" w:hAnsi="Garamond"/>
          <w:b/>
          <w:iCs/>
          <w:sz w:val="20"/>
          <w:szCs w:val="20"/>
        </w:rPr>
        <w:t xml:space="preserve"> </w:t>
      </w:r>
      <w:r w:rsidRPr="00950924">
        <w:rPr>
          <w:rFonts w:ascii="Garamond" w:hAnsi="Garamond"/>
          <w:bCs/>
          <w:iCs/>
          <w:sz w:val="20"/>
          <w:szCs w:val="20"/>
        </w:rPr>
        <w:t>Data were entered into Microsoft Excel and analyzed using Statistical Package for Social Sciences version 23 (SPSS, Inc., IBM Corp Chicago Illinois, USA). Descriptive statistics were computed: categorical variables were presented as frequencies and percentages, while continuous variables were presented as mean ± standard deviation or median with interquartile range based on distribution. The prevalence of TEM use was calculated as the proportion of mothers reporting TEM use divided by the total number of respondents.  Factors previously identified in the literature, such as maternal education, child’s age and parity were included as potential confounders. Bivariate analysis using chi-square test (or Fisher's exact test where expected cells &lt;5) was conducted to test associations between TEM use and independent variables. Multivariate analysis was done using logistic regression. Variables with p&lt;0.05 were considered statistically significant.</w:t>
      </w:r>
    </w:p>
    <w:p w14:paraId="524F2F62" w14:textId="76D45DD1" w:rsidR="00950924" w:rsidRDefault="00950924" w:rsidP="00950924">
      <w:pPr>
        <w:spacing w:line="259" w:lineRule="auto"/>
        <w:jc w:val="both"/>
        <w:rPr>
          <w:rFonts w:ascii="Garamond" w:hAnsi="Garamond"/>
          <w:bCs/>
          <w:iCs/>
          <w:sz w:val="20"/>
          <w:szCs w:val="20"/>
        </w:rPr>
      </w:pPr>
      <w:r w:rsidRPr="00691BD8">
        <w:rPr>
          <w:rFonts w:ascii="Garamond" w:hAnsi="Garamond"/>
          <w:b/>
          <w:i/>
          <w:sz w:val="20"/>
          <w:szCs w:val="20"/>
        </w:rPr>
        <w:t>Ethical Consideration</w:t>
      </w:r>
      <w:r w:rsidR="00691BD8" w:rsidRPr="00691BD8">
        <w:rPr>
          <w:rFonts w:ascii="Garamond" w:hAnsi="Garamond"/>
          <w:b/>
          <w:i/>
          <w:sz w:val="20"/>
          <w:szCs w:val="20"/>
        </w:rPr>
        <w:t>:</w:t>
      </w:r>
      <w:r w:rsidR="00691BD8">
        <w:rPr>
          <w:rFonts w:ascii="Garamond" w:hAnsi="Garamond"/>
          <w:b/>
          <w:iCs/>
          <w:sz w:val="20"/>
          <w:szCs w:val="20"/>
        </w:rPr>
        <w:t xml:space="preserve"> </w:t>
      </w:r>
      <w:r w:rsidRPr="00950924">
        <w:rPr>
          <w:rFonts w:ascii="Garamond" w:hAnsi="Garamond"/>
          <w:bCs/>
          <w:iCs/>
          <w:sz w:val="20"/>
          <w:szCs w:val="20"/>
        </w:rPr>
        <w:t>The study adhered to the principles of the Declaration of Helsinki.</w:t>
      </w:r>
      <w:r w:rsidRPr="00950924">
        <w:rPr>
          <w:rFonts w:ascii="Garamond" w:hAnsi="Garamond"/>
          <w:bCs/>
          <w:iCs/>
          <w:sz w:val="20"/>
          <w:szCs w:val="20"/>
        </w:rPr>
        <w:fldChar w:fldCharType="begin" w:fldLock="1"/>
      </w:r>
      <w:r w:rsidRPr="00950924">
        <w:rPr>
          <w:rFonts w:ascii="Garamond" w:hAnsi="Garamond"/>
          <w:bCs/>
          <w:iCs/>
          <w:sz w:val="20"/>
          <w:szCs w:val="20"/>
        </w:rPr>
        <w:instrText>ADDIN CSL_CITATION {"citationItems":[{"id":"ITEM-1","itemData":{"author":[{"dropping-particle":"","family":"WMA","given":"","non-dropping-particle":"","parse-names":false,"suffix":""}],"container-title":"JAMA","id":"ITEM-1","issue":"20","issued":{"date-parts":[["2013"]]},"page":"2191-2194","title":"World Medical Association Declaration of Helsinki Ethical Principles for Medical Research Involving Human Subjects","type":"article-journal","volume":"310"},"uris":["http://www.mendeley.com/documents/?uuid=b0551901-174d-3c03-aab0-5b64750d1d5e"]}],"mendeley":{"formattedCitation":"&lt;sup&gt;[17]&lt;/sup&gt;","plainTextFormattedCitation":"[17]","previouslyFormattedCitation":"&lt;sup&gt;[18]&lt;/sup&gt;"},"properties":{"noteIndex":0},"schema":"https://github.com/citation-style-language/schema/raw/master/csl-citation.json"}</w:instrText>
      </w:r>
      <w:r w:rsidRPr="00950924">
        <w:rPr>
          <w:rFonts w:ascii="Garamond" w:hAnsi="Garamond"/>
          <w:bCs/>
          <w:iCs/>
          <w:sz w:val="20"/>
          <w:szCs w:val="20"/>
        </w:rPr>
        <w:fldChar w:fldCharType="separate"/>
      </w:r>
      <w:r w:rsidRPr="00950924">
        <w:rPr>
          <w:rFonts w:ascii="Garamond" w:hAnsi="Garamond"/>
          <w:bCs/>
          <w:iCs/>
          <w:sz w:val="20"/>
          <w:szCs w:val="20"/>
          <w:vertAlign w:val="superscript"/>
        </w:rPr>
        <w:t>[17]</w:t>
      </w:r>
      <w:r w:rsidRPr="00950924">
        <w:rPr>
          <w:rFonts w:ascii="Garamond" w:hAnsi="Garamond"/>
          <w:bCs/>
          <w:iCs/>
          <w:sz w:val="20"/>
          <w:szCs w:val="20"/>
        </w:rPr>
        <w:fldChar w:fldCharType="end"/>
      </w:r>
      <w:r w:rsidRPr="00950924">
        <w:rPr>
          <w:rFonts w:ascii="Garamond" w:hAnsi="Garamond"/>
          <w:bCs/>
          <w:iCs/>
          <w:sz w:val="20"/>
          <w:szCs w:val="20"/>
        </w:rPr>
        <w:t xml:space="preserve"> Ethical approval for this study was obtained from the Anambra State Ministry of Health Research Ethics Committee </w:t>
      </w:r>
      <w:proofErr w:type="spellStart"/>
      <w:r w:rsidRPr="00950924">
        <w:rPr>
          <w:rFonts w:ascii="Garamond" w:hAnsi="Garamond"/>
          <w:bCs/>
          <w:iCs/>
          <w:sz w:val="20"/>
          <w:szCs w:val="20"/>
        </w:rPr>
        <w:t>Awka</w:t>
      </w:r>
      <w:proofErr w:type="spellEnd"/>
      <w:r w:rsidRPr="00950924">
        <w:rPr>
          <w:rFonts w:ascii="Garamond" w:hAnsi="Garamond"/>
          <w:bCs/>
          <w:iCs/>
          <w:sz w:val="20"/>
          <w:szCs w:val="20"/>
        </w:rPr>
        <w:t xml:space="preserve"> (ASMOHREC /2025/16012025/31; 16</w:t>
      </w:r>
      <w:r w:rsidRPr="00950924">
        <w:rPr>
          <w:rFonts w:ascii="Garamond" w:hAnsi="Garamond"/>
          <w:bCs/>
          <w:iCs/>
          <w:sz w:val="20"/>
          <w:szCs w:val="20"/>
          <w:vertAlign w:val="superscript"/>
        </w:rPr>
        <w:t>th</w:t>
      </w:r>
      <w:r w:rsidRPr="00950924">
        <w:rPr>
          <w:rFonts w:ascii="Garamond" w:hAnsi="Garamond"/>
          <w:bCs/>
          <w:iCs/>
          <w:sz w:val="20"/>
          <w:szCs w:val="20"/>
        </w:rPr>
        <w:t xml:space="preserve"> January 2025). Permission was also obtained from the management of the participating immunization clinics. Written informed consent was obtained from all participating mothers after explaining the purpose, procedures, benefits, and risks of the study. Participation was voluntary, and mothers were assured of confidentiality and their right to withdraw at any time without affecting the services their children received. </w:t>
      </w:r>
    </w:p>
    <w:p w14:paraId="34CD1AA0" w14:textId="28EAE9CC" w:rsidR="00135F12" w:rsidRPr="00135F12" w:rsidRDefault="00135F12" w:rsidP="00950924">
      <w:pPr>
        <w:spacing w:line="259" w:lineRule="auto"/>
        <w:jc w:val="both"/>
        <w:rPr>
          <w:rFonts w:ascii="Garamond" w:hAnsi="Garamond"/>
          <w:b/>
          <w:i/>
          <w:sz w:val="20"/>
          <w:szCs w:val="20"/>
        </w:rPr>
      </w:pPr>
      <w:r w:rsidRPr="00135F12">
        <w:rPr>
          <w:rFonts w:ascii="Garamond" w:hAnsi="Garamond"/>
          <w:b/>
          <w:i/>
          <w:sz w:val="20"/>
          <w:szCs w:val="20"/>
        </w:rPr>
        <w:t>Variables</w:t>
      </w:r>
    </w:p>
    <w:p w14:paraId="42D9A1D6" w14:textId="77777777" w:rsidR="00950924" w:rsidRPr="00950924" w:rsidRDefault="00950924" w:rsidP="00950924">
      <w:pPr>
        <w:spacing w:line="259" w:lineRule="auto"/>
        <w:jc w:val="both"/>
        <w:rPr>
          <w:rFonts w:ascii="Garamond" w:hAnsi="Garamond"/>
          <w:bCs/>
          <w:iCs/>
          <w:sz w:val="20"/>
          <w:szCs w:val="20"/>
        </w:rPr>
      </w:pPr>
      <w:r w:rsidRPr="00135F12">
        <w:rPr>
          <w:rFonts w:ascii="Garamond" w:hAnsi="Garamond"/>
          <w:bCs/>
          <w:i/>
          <w:sz w:val="20"/>
          <w:szCs w:val="20"/>
        </w:rPr>
        <w:t>Outcome variable:</w:t>
      </w:r>
      <w:r w:rsidRPr="00950924">
        <w:rPr>
          <w:rFonts w:ascii="Garamond" w:hAnsi="Garamond"/>
          <w:bCs/>
          <w:iCs/>
          <w:sz w:val="20"/>
          <w:szCs w:val="20"/>
        </w:rPr>
        <w:t xml:space="preserve"> TEM use (yes/no)</w:t>
      </w:r>
    </w:p>
    <w:p w14:paraId="0DE6EFD9" w14:textId="6EC46B71" w:rsidR="00135F12" w:rsidRPr="00135F12" w:rsidRDefault="00950924" w:rsidP="00950924">
      <w:pPr>
        <w:spacing w:line="259" w:lineRule="auto"/>
        <w:jc w:val="both"/>
        <w:rPr>
          <w:rFonts w:ascii="Garamond" w:hAnsi="Garamond"/>
          <w:bCs/>
          <w:iCs/>
          <w:sz w:val="20"/>
          <w:szCs w:val="20"/>
        </w:rPr>
      </w:pPr>
      <w:r w:rsidRPr="00135F12">
        <w:rPr>
          <w:rFonts w:ascii="Garamond" w:hAnsi="Garamond"/>
          <w:bCs/>
          <w:i/>
          <w:sz w:val="20"/>
          <w:szCs w:val="20"/>
        </w:rPr>
        <w:t>Exposure variables</w:t>
      </w:r>
      <w:r w:rsidRPr="00950924">
        <w:rPr>
          <w:rFonts w:ascii="Garamond" w:hAnsi="Garamond"/>
          <w:bCs/>
          <w:iCs/>
          <w:sz w:val="20"/>
          <w:szCs w:val="20"/>
        </w:rPr>
        <w:t>:</w:t>
      </w:r>
      <w:r w:rsidR="00691BD8">
        <w:rPr>
          <w:rFonts w:ascii="Garamond" w:hAnsi="Garamond"/>
          <w:bCs/>
          <w:iCs/>
          <w:sz w:val="20"/>
          <w:szCs w:val="20"/>
        </w:rPr>
        <w:t xml:space="preserve"> </w:t>
      </w:r>
      <w:r w:rsidRPr="00950924">
        <w:rPr>
          <w:rFonts w:ascii="Garamond" w:hAnsi="Garamond"/>
          <w:bCs/>
          <w:iCs/>
          <w:sz w:val="20"/>
          <w:szCs w:val="20"/>
        </w:rPr>
        <w:t>Education</w:t>
      </w:r>
      <w:r w:rsidR="00691BD8">
        <w:rPr>
          <w:rFonts w:ascii="Garamond" w:hAnsi="Garamond"/>
          <w:bCs/>
          <w:iCs/>
          <w:sz w:val="20"/>
          <w:szCs w:val="20"/>
        </w:rPr>
        <w:t xml:space="preserve">, </w:t>
      </w:r>
      <w:r w:rsidRPr="00950924">
        <w:rPr>
          <w:rFonts w:ascii="Garamond" w:hAnsi="Garamond"/>
          <w:bCs/>
          <w:iCs/>
          <w:sz w:val="20"/>
          <w:szCs w:val="20"/>
        </w:rPr>
        <w:t>Age</w:t>
      </w:r>
      <w:r w:rsidR="00691BD8">
        <w:rPr>
          <w:rFonts w:ascii="Garamond" w:hAnsi="Garamond"/>
          <w:bCs/>
          <w:iCs/>
          <w:sz w:val="20"/>
          <w:szCs w:val="20"/>
        </w:rPr>
        <w:t xml:space="preserve">, </w:t>
      </w:r>
      <w:r w:rsidRPr="00950924">
        <w:rPr>
          <w:rFonts w:ascii="Garamond" w:hAnsi="Garamond"/>
          <w:bCs/>
          <w:iCs/>
          <w:sz w:val="20"/>
          <w:szCs w:val="20"/>
        </w:rPr>
        <w:t>Birth order</w:t>
      </w:r>
      <w:r w:rsidR="00135F12">
        <w:rPr>
          <w:rFonts w:ascii="Garamond" w:hAnsi="Garamond"/>
          <w:bCs/>
          <w:iCs/>
          <w:sz w:val="20"/>
          <w:szCs w:val="20"/>
        </w:rPr>
        <w:t xml:space="preserve">, </w:t>
      </w:r>
      <w:r w:rsidRPr="00135F12">
        <w:rPr>
          <w:rFonts w:ascii="Garamond" w:hAnsi="Garamond"/>
          <w:bCs/>
          <w:iCs/>
          <w:sz w:val="20"/>
          <w:szCs w:val="20"/>
        </w:rPr>
        <w:t>Donation of breast milk</w:t>
      </w:r>
      <w:r w:rsidR="00691BD8" w:rsidRPr="00135F12">
        <w:rPr>
          <w:rFonts w:ascii="Garamond" w:hAnsi="Garamond"/>
          <w:bCs/>
          <w:iCs/>
          <w:sz w:val="20"/>
          <w:szCs w:val="20"/>
        </w:rPr>
        <w:t xml:space="preserve"> </w:t>
      </w:r>
    </w:p>
    <w:p w14:paraId="72BA2A8C" w14:textId="79AD7178" w:rsidR="00950924" w:rsidRPr="00950924" w:rsidRDefault="00950924" w:rsidP="00950924">
      <w:pPr>
        <w:spacing w:line="259" w:lineRule="auto"/>
        <w:jc w:val="both"/>
        <w:rPr>
          <w:rFonts w:ascii="Garamond" w:hAnsi="Garamond"/>
          <w:bCs/>
          <w:iCs/>
          <w:sz w:val="20"/>
          <w:szCs w:val="20"/>
        </w:rPr>
      </w:pPr>
      <w:r w:rsidRPr="00135F12">
        <w:rPr>
          <w:rFonts w:ascii="Garamond" w:hAnsi="Garamond"/>
          <w:bCs/>
          <w:i/>
          <w:sz w:val="20"/>
          <w:szCs w:val="20"/>
        </w:rPr>
        <w:t>Expected bias</w:t>
      </w:r>
      <w:r w:rsidRPr="00950924">
        <w:rPr>
          <w:rFonts w:ascii="Garamond" w:hAnsi="Garamond"/>
          <w:bCs/>
          <w:iCs/>
          <w:sz w:val="20"/>
          <w:szCs w:val="20"/>
        </w:rPr>
        <w:t>: There could be recall bias in remembering past events, social desirability bias due to self-reported method used and fear of stigma. The participants were interviewed in a room that offered privacy, were assured that their responses were completely anonymous and were allowed time to respond adequately to help reduce these. There was potential for interviewer bias due to the interviewer-administered method used. However, this was mitigated by use of a structured questionnaire and training of the interviewer.</w:t>
      </w:r>
    </w:p>
    <w:p w14:paraId="6AFF43F4" w14:textId="77777777" w:rsidR="00950924" w:rsidRPr="00950924" w:rsidRDefault="00950924" w:rsidP="00950924">
      <w:pPr>
        <w:spacing w:line="259" w:lineRule="auto"/>
        <w:jc w:val="both"/>
        <w:rPr>
          <w:rFonts w:ascii="Garamond" w:hAnsi="Garamond"/>
          <w:b/>
          <w:bCs/>
          <w:iCs/>
          <w:sz w:val="20"/>
          <w:szCs w:val="20"/>
        </w:rPr>
      </w:pPr>
    </w:p>
    <w:p w14:paraId="5DDED4A9" w14:textId="1A48D3B6" w:rsidR="00950924" w:rsidRPr="00691BD8" w:rsidRDefault="00691BD8" w:rsidP="00950924">
      <w:pPr>
        <w:spacing w:line="259" w:lineRule="auto"/>
        <w:jc w:val="both"/>
        <w:rPr>
          <w:rFonts w:ascii="Garamond" w:hAnsi="Garamond"/>
          <w:b/>
          <w:bCs/>
          <w:iCs/>
          <w:sz w:val="22"/>
          <w:szCs w:val="22"/>
        </w:rPr>
      </w:pPr>
      <w:r w:rsidRPr="00691BD8">
        <w:rPr>
          <w:rFonts w:ascii="Garamond" w:hAnsi="Garamond"/>
          <w:b/>
          <w:bCs/>
          <w:iCs/>
          <w:sz w:val="22"/>
          <w:szCs w:val="22"/>
        </w:rPr>
        <w:t>RESULTS</w:t>
      </w:r>
    </w:p>
    <w:p w14:paraId="06C40955" w14:textId="5E499C47" w:rsidR="00950924" w:rsidRPr="00950924" w:rsidRDefault="00950924" w:rsidP="00950924">
      <w:pPr>
        <w:spacing w:line="259" w:lineRule="auto"/>
        <w:jc w:val="both"/>
        <w:rPr>
          <w:rFonts w:ascii="Garamond" w:hAnsi="Garamond"/>
          <w:bCs/>
          <w:iCs/>
          <w:sz w:val="20"/>
          <w:szCs w:val="20"/>
        </w:rPr>
      </w:pPr>
      <w:r w:rsidRPr="00691BD8">
        <w:rPr>
          <w:rFonts w:ascii="Garamond" w:hAnsi="Garamond"/>
          <w:b/>
          <w:i/>
          <w:sz w:val="20"/>
          <w:szCs w:val="20"/>
        </w:rPr>
        <w:t>Participant flow and Response rate</w:t>
      </w:r>
      <w:r w:rsidR="00691BD8" w:rsidRPr="00691BD8">
        <w:rPr>
          <w:rFonts w:ascii="Garamond" w:hAnsi="Garamond"/>
          <w:b/>
          <w:i/>
          <w:sz w:val="20"/>
          <w:szCs w:val="20"/>
        </w:rPr>
        <w:t>:</w:t>
      </w:r>
      <w:r w:rsidR="00691BD8">
        <w:rPr>
          <w:rFonts w:ascii="Garamond" w:hAnsi="Garamond"/>
          <w:bCs/>
          <w:iCs/>
          <w:sz w:val="20"/>
          <w:szCs w:val="20"/>
        </w:rPr>
        <w:t xml:space="preserve"> </w:t>
      </w:r>
      <w:r w:rsidRPr="00950924">
        <w:rPr>
          <w:rFonts w:ascii="Garamond" w:hAnsi="Garamond"/>
          <w:bCs/>
          <w:iCs/>
          <w:sz w:val="20"/>
          <w:szCs w:val="20"/>
        </w:rPr>
        <w:t xml:space="preserve">Of the 360 mothers approached, 327 agreed to participate, giving a response rate of 90.8%. Seven questionnaires were incomplete and were excluded, leaving 320 questionnaires for final analysis. </w:t>
      </w:r>
    </w:p>
    <w:p w14:paraId="29A6B8CE"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noProof/>
          <w:sz w:val="20"/>
          <w:szCs w:val="20"/>
          <w:lang w:val="en-GB"/>
        </w:rPr>
        <w:drawing>
          <wp:inline distT="0" distB="0" distL="0" distR="0" wp14:anchorId="4FA3F26A" wp14:editId="05FD8850">
            <wp:extent cx="2615979" cy="3329305"/>
            <wp:effectExtent l="0" t="50800" r="0" b="36195"/>
            <wp:docPr id="1845170282" name="Diagram 184517028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14:paraId="7C0C6FC7" w14:textId="77777777" w:rsidR="00950924" w:rsidRDefault="00950924" w:rsidP="00950924">
      <w:pPr>
        <w:spacing w:line="259" w:lineRule="auto"/>
        <w:jc w:val="both"/>
        <w:rPr>
          <w:rFonts w:ascii="Garamond" w:hAnsi="Garamond"/>
          <w:iCs/>
          <w:sz w:val="20"/>
          <w:szCs w:val="20"/>
        </w:rPr>
      </w:pPr>
      <w:r w:rsidRPr="00950924">
        <w:rPr>
          <w:rFonts w:ascii="Garamond" w:hAnsi="Garamond"/>
          <w:b/>
          <w:bCs/>
          <w:iCs/>
          <w:sz w:val="20"/>
          <w:szCs w:val="20"/>
        </w:rPr>
        <w:t xml:space="preserve">Figure 1: </w:t>
      </w:r>
      <w:r w:rsidRPr="00950924">
        <w:rPr>
          <w:rFonts w:ascii="Garamond" w:hAnsi="Garamond"/>
          <w:iCs/>
          <w:sz w:val="20"/>
          <w:szCs w:val="20"/>
        </w:rPr>
        <w:t>Flow Chart for Data Collection</w:t>
      </w:r>
    </w:p>
    <w:p w14:paraId="0CC08654" w14:textId="77777777" w:rsidR="00950924" w:rsidRDefault="00950924" w:rsidP="00950924">
      <w:pPr>
        <w:spacing w:line="259" w:lineRule="auto"/>
        <w:jc w:val="both"/>
        <w:rPr>
          <w:rFonts w:ascii="Garamond" w:hAnsi="Garamond"/>
          <w:iCs/>
          <w:sz w:val="20"/>
          <w:szCs w:val="20"/>
        </w:rPr>
      </w:pPr>
    </w:p>
    <w:p w14:paraId="0429274C"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A total of 320 mothers were studied with a mean age of 29.8 ± 5.3 years. Up to 206 (64.4%) had tertiary education and 101 (31.6%) were traders. The children of the participants were aged between 1 week and 676 </w:t>
      </w:r>
      <w:r w:rsidRPr="00950924">
        <w:rPr>
          <w:rFonts w:ascii="Garamond" w:hAnsi="Garamond"/>
          <w:bCs/>
          <w:iCs/>
          <w:sz w:val="20"/>
          <w:szCs w:val="20"/>
        </w:rPr>
        <w:lastRenderedPageBreak/>
        <w:t>weeks with a median age of 12 weeks. The highest proportion of mothers 154 (48.1%), had their children in the 1 to 3-month age group. One hundred and twelve (35%) were first born children while 105(32.8%) were second born children. (Table 1)</w:t>
      </w:r>
    </w:p>
    <w:p w14:paraId="39D547C8" w14:textId="77777777" w:rsidR="00950924" w:rsidRPr="00950924" w:rsidRDefault="00950924" w:rsidP="00950924">
      <w:pPr>
        <w:spacing w:line="259" w:lineRule="auto"/>
        <w:jc w:val="both"/>
        <w:rPr>
          <w:rFonts w:ascii="Garamond" w:hAnsi="Garamond"/>
          <w:bCs/>
          <w:iCs/>
          <w:sz w:val="20"/>
          <w:szCs w:val="20"/>
        </w:rPr>
      </w:pPr>
    </w:p>
    <w:p w14:paraId="7EEF6847"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 xml:space="preserve">Table 1: </w:t>
      </w:r>
      <w:r w:rsidRPr="00950924">
        <w:rPr>
          <w:rFonts w:ascii="Garamond" w:hAnsi="Garamond"/>
          <w:iCs/>
          <w:sz w:val="20"/>
          <w:szCs w:val="20"/>
        </w:rPr>
        <w:t>Sociodemographic Characteristics</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7"/>
        <w:gridCol w:w="1186"/>
        <w:gridCol w:w="1287"/>
      </w:tblGrid>
      <w:tr w:rsidR="00950924" w:rsidRPr="00950924" w14:paraId="06F33700" w14:textId="77777777" w:rsidTr="006677F2">
        <w:tc>
          <w:tcPr>
            <w:tcW w:w="3116" w:type="dxa"/>
            <w:tcBorders>
              <w:top w:val="single" w:sz="4" w:space="0" w:color="auto"/>
              <w:bottom w:val="single" w:sz="4" w:space="0" w:color="auto"/>
            </w:tcBorders>
            <w:vAlign w:val="center"/>
          </w:tcPr>
          <w:p w14:paraId="4180791C"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Characteristic</w:t>
            </w:r>
          </w:p>
        </w:tc>
        <w:tc>
          <w:tcPr>
            <w:tcW w:w="3117" w:type="dxa"/>
            <w:tcBorders>
              <w:top w:val="single" w:sz="4" w:space="0" w:color="auto"/>
              <w:bottom w:val="single" w:sz="4" w:space="0" w:color="auto"/>
            </w:tcBorders>
            <w:vAlign w:val="center"/>
          </w:tcPr>
          <w:p w14:paraId="78B2F0D3"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No</w:t>
            </w:r>
          </w:p>
        </w:tc>
        <w:tc>
          <w:tcPr>
            <w:tcW w:w="3117" w:type="dxa"/>
            <w:tcBorders>
              <w:top w:val="single" w:sz="4" w:space="0" w:color="auto"/>
              <w:bottom w:val="single" w:sz="4" w:space="0" w:color="auto"/>
            </w:tcBorders>
            <w:vAlign w:val="center"/>
          </w:tcPr>
          <w:p w14:paraId="03CDBDB3"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w:t>
            </w:r>
          </w:p>
        </w:tc>
      </w:tr>
      <w:tr w:rsidR="00950924" w:rsidRPr="00950924" w14:paraId="732C4565" w14:textId="77777777" w:rsidTr="006677F2">
        <w:tc>
          <w:tcPr>
            <w:tcW w:w="3116" w:type="dxa"/>
            <w:tcBorders>
              <w:top w:val="single" w:sz="4" w:space="0" w:color="auto"/>
            </w:tcBorders>
            <w:vAlign w:val="center"/>
          </w:tcPr>
          <w:p w14:paraId="3B91AC9A"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Mothers’ Age</w:t>
            </w:r>
          </w:p>
        </w:tc>
        <w:tc>
          <w:tcPr>
            <w:tcW w:w="6234" w:type="dxa"/>
            <w:gridSpan w:val="2"/>
            <w:tcBorders>
              <w:top w:val="single" w:sz="4" w:space="0" w:color="auto"/>
            </w:tcBorders>
            <w:vAlign w:val="center"/>
          </w:tcPr>
          <w:p w14:paraId="5E977339" w14:textId="77777777" w:rsidR="00950924" w:rsidRPr="00950924" w:rsidRDefault="00950924" w:rsidP="00950924">
            <w:pPr>
              <w:spacing w:line="259" w:lineRule="auto"/>
              <w:jc w:val="both"/>
              <w:rPr>
                <w:rFonts w:ascii="Garamond" w:hAnsi="Garamond"/>
                <w:bCs/>
                <w:iCs/>
                <w:sz w:val="20"/>
                <w:szCs w:val="20"/>
              </w:rPr>
            </w:pPr>
          </w:p>
        </w:tc>
      </w:tr>
      <w:tr w:rsidR="00950924" w:rsidRPr="00950924" w14:paraId="2171D831" w14:textId="77777777" w:rsidTr="006677F2">
        <w:trPr>
          <w:trHeight w:val="54"/>
        </w:trPr>
        <w:tc>
          <w:tcPr>
            <w:tcW w:w="3116" w:type="dxa"/>
            <w:vAlign w:val="center"/>
          </w:tcPr>
          <w:p w14:paraId="046F1EEB"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&lt;20</w:t>
            </w:r>
          </w:p>
        </w:tc>
        <w:tc>
          <w:tcPr>
            <w:tcW w:w="3117" w:type="dxa"/>
            <w:vAlign w:val="center"/>
          </w:tcPr>
          <w:p w14:paraId="3601CE26"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2</w:t>
            </w:r>
          </w:p>
        </w:tc>
        <w:tc>
          <w:tcPr>
            <w:tcW w:w="3117" w:type="dxa"/>
            <w:vAlign w:val="center"/>
          </w:tcPr>
          <w:p w14:paraId="7E4E6B28"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0.6</w:t>
            </w:r>
          </w:p>
        </w:tc>
      </w:tr>
      <w:tr w:rsidR="00950924" w:rsidRPr="00950924" w14:paraId="0CCF0815" w14:textId="77777777" w:rsidTr="006677F2">
        <w:trPr>
          <w:trHeight w:val="54"/>
        </w:trPr>
        <w:tc>
          <w:tcPr>
            <w:tcW w:w="3116" w:type="dxa"/>
            <w:vAlign w:val="center"/>
          </w:tcPr>
          <w:p w14:paraId="277F909E"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20-29</w:t>
            </w:r>
          </w:p>
        </w:tc>
        <w:tc>
          <w:tcPr>
            <w:tcW w:w="3117" w:type="dxa"/>
            <w:vAlign w:val="center"/>
          </w:tcPr>
          <w:p w14:paraId="63DBB571"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161</w:t>
            </w:r>
          </w:p>
        </w:tc>
        <w:tc>
          <w:tcPr>
            <w:tcW w:w="3117" w:type="dxa"/>
            <w:vAlign w:val="center"/>
          </w:tcPr>
          <w:p w14:paraId="7ECCAB28"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50.3</w:t>
            </w:r>
          </w:p>
        </w:tc>
      </w:tr>
      <w:tr w:rsidR="00950924" w:rsidRPr="00950924" w14:paraId="2AED77B1" w14:textId="77777777" w:rsidTr="006677F2">
        <w:trPr>
          <w:trHeight w:val="54"/>
        </w:trPr>
        <w:tc>
          <w:tcPr>
            <w:tcW w:w="3116" w:type="dxa"/>
            <w:vAlign w:val="center"/>
          </w:tcPr>
          <w:p w14:paraId="7D75CC7E"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30-39</w:t>
            </w:r>
          </w:p>
        </w:tc>
        <w:tc>
          <w:tcPr>
            <w:tcW w:w="3117" w:type="dxa"/>
            <w:vAlign w:val="center"/>
          </w:tcPr>
          <w:p w14:paraId="2B32E6D3"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135</w:t>
            </w:r>
          </w:p>
        </w:tc>
        <w:tc>
          <w:tcPr>
            <w:tcW w:w="3117" w:type="dxa"/>
            <w:vAlign w:val="center"/>
          </w:tcPr>
          <w:p w14:paraId="5ACDF99A"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42.2</w:t>
            </w:r>
          </w:p>
        </w:tc>
      </w:tr>
      <w:tr w:rsidR="00950924" w:rsidRPr="00950924" w14:paraId="7DCB8BBE" w14:textId="77777777" w:rsidTr="006677F2">
        <w:trPr>
          <w:trHeight w:val="54"/>
        </w:trPr>
        <w:tc>
          <w:tcPr>
            <w:tcW w:w="3116" w:type="dxa"/>
            <w:vAlign w:val="center"/>
          </w:tcPr>
          <w:p w14:paraId="7315869B"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40 and above</w:t>
            </w:r>
          </w:p>
        </w:tc>
        <w:tc>
          <w:tcPr>
            <w:tcW w:w="3117" w:type="dxa"/>
            <w:vAlign w:val="center"/>
          </w:tcPr>
          <w:p w14:paraId="1BD9E930"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22</w:t>
            </w:r>
          </w:p>
        </w:tc>
        <w:tc>
          <w:tcPr>
            <w:tcW w:w="3117" w:type="dxa"/>
            <w:vAlign w:val="center"/>
          </w:tcPr>
          <w:p w14:paraId="11D39A1A"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6.9</w:t>
            </w:r>
          </w:p>
        </w:tc>
      </w:tr>
      <w:tr w:rsidR="00950924" w:rsidRPr="00950924" w14:paraId="63155851" w14:textId="77777777" w:rsidTr="006677F2">
        <w:trPr>
          <w:trHeight w:val="54"/>
        </w:trPr>
        <w:tc>
          <w:tcPr>
            <w:tcW w:w="3116" w:type="dxa"/>
            <w:vAlign w:val="center"/>
          </w:tcPr>
          <w:p w14:paraId="04BCEFFD"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Total</w:t>
            </w:r>
          </w:p>
        </w:tc>
        <w:tc>
          <w:tcPr>
            <w:tcW w:w="3117" w:type="dxa"/>
            <w:vAlign w:val="center"/>
          </w:tcPr>
          <w:p w14:paraId="5F4F690B"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320</w:t>
            </w:r>
          </w:p>
        </w:tc>
        <w:tc>
          <w:tcPr>
            <w:tcW w:w="3117" w:type="dxa"/>
            <w:vAlign w:val="center"/>
          </w:tcPr>
          <w:p w14:paraId="047DA451"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100.0</w:t>
            </w:r>
          </w:p>
        </w:tc>
      </w:tr>
      <w:tr w:rsidR="00950924" w:rsidRPr="00950924" w14:paraId="2F62E2C7" w14:textId="77777777" w:rsidTr="006677F2">
        <w:tc>
          <w:tcPr>
            <w:tcW w:w="3116" w:type="dxa"/>
            <w:vAlign w:val="center"/>
          </w:tcPr>
          <w:p w14:paraId="44EA11AA"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Highest Educational Attainment</w:t>
            </w:r>
          </w:p>
        </w:tc>
        <w:tc>
          <w:tcPr>
            <w:tcW w:w="3117" w:type="dxa"/>
            <w:vAlign w:val="center"/>
          </w:tcPr>
          <w:p w14:paraId="62B4725C" w14:textId="77777777" w:rsidR="00950924" w:rsidRPr="00950924" w:rsidRDefault="00950924" w:rsidP="00950924">
            <w:pPr>
              <w:spacing w:line="259" w:lineRule="auto"/>
              <w:jc w:val="both"/>
              <w:rPr>
                <w:rFonts w:ascii="Garamond" w:hAnsi="Garamond"/>
                <w:bCs/>
                <w:iCs/>
                <w:sz w:val="20"/>
                <w:szCs w:val="20"/>
              </w:rPr>
            </w:pPr>
          </w:p>
        </w:tc>
        <w:tc>
          <w:tcPr>
            <w:tcW w:w="3117" w:type="dxa"/>
            <w:vAlign w:val="center"/>
          </w:tcPr>
          <w:p w14:paraId="3F9417D3" w14:textId="77777777" w:rsidR="00950924" w:rsidRPr="00950924" w:rsidRDefault="00950924" w:rsidP="00950924">
            <w:pPr>
              <w:spacing w:line="259" w:lineRule="auto"/>
              <w:jc w:val="both"/>
              <w:rPr>
                <w:rFonts w:ascii="Garamond" w:hAnsi="Garamond"/>
                <w:bCs/>
                <w:iCs/>
                <w:sz w:val="20"/>
                <w:szCs w:val="20"/>
              </w:rPr>
            </w:pPr>
          </w:p>
        </w:tc>
      </w:tr>
      <w:tr w:rsidR="00950924" w:rsidRPr="00950924" w14:paraId="5A0929B6" w14:textId="77777777" w:rsidTr="006677F2">
        <w:trPr>
          <w:trHeight w:val="54"/>
        </w:trPr>
        <w:tc>
          <w:tcPr>
            <w:tcW w:w="3116" w:type="dxa"/>
            <w:vAlign w:val="center"/>
          </w:tcPr>
          <w:p w14:paraId="7FA2C00F"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Primary Education</w:t>
            </w:r>
          </w:p>
        </w:tc>
        <w:tc>
          <w:tcPr>
            <w:tcW w:w="3117" w:type="dxa"/>
            <w:vAlign w:val="center"/>
          </w:tcPr>
          <w:p w14:paraId="21AF0280"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4</w:t>
            </w:r>
          </w:p>
        </w:tc>
        <w:tc>
          <w:tcPr>
            <w:tcW w:w="3117" w:type="dxa"/>
            <w:vAlign w:val="center"/>
          </w:tcPr>
          <w:p w14:paraId="51FFB680"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1.3</w:t>
            </w:r>
          </w:p>
        </w:tc>
      </w:tr>
      <w:tr w:rsidR="00950924" w:rsidRPr="00950924" w14:paraId="18DF7868" w14:textId="77777777" w:rsidTr="006677F2">
        <w:trPr>
          <w:trHeight w:val="54"/>
        </w:trPr>
        <w:tc>
          <w:tcPr>
            <w:tcW w:w="3116" w:type="dxa"/>
            <w:vAlign w:val="center"/>
          </w:tcPr>
          <w:p w14:paraId="2C920376"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Secondary Education</w:t>
            </w:r>
          </w:p>
        </w:tc>
        <w:tc>
          <w:tcPr>
            <w:tcW w:w="3117" w:type="dxa"/>
            <w:vAlign w:val="center"/>
          </w:tcPr>
          <w:p w14:paraId="789B7F42"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107</w:t>
            </w:r>
          </w:p>
        </w:tc>
        <w:tc>
          <w:tcPr>
            <w:tcW w:w="3117" w:type="dxa"/>
            <w:vAlign w:val="center"/>
          </w:tcPr>
          <w:p w14:paraId="006E0C6E"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33.4</w:t>
            </w:r>
          </w:p>
        </w:tc>
      </w:tr>
      <w:tr w:rsidR="00950924" w:rsidRPr="00950924" w14:paraId="11937391" w14:textId="77777777" w:rsidTr="006677F2">
        <w:trPr>
          <w:trHeight w:val="54"/>
        </w:trPr>
        <w:tc>
          <w:tcPr>
            <w:tcW w:w="3116" w:type="dxa"/>
            <w:vAlign w:val="center"/>
          </w:tcPr>
          <w:p w14:paraId="501AFA35"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Tertiary Education</w:t>
            </w:r>
          </w:p>
        </w:tc>
        <w:tc>
          <w:tcPr>
            <w:tcW w:w="3117" w:type="dxa"/>
            <w:vAlign w:val="center"/>
          </w:tcPr>
          <w:p w14:paraId="35FDB316"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206</w:t>
            </w:r>
          </w:p>
        </w:tc>
        <w:tc>
          <w:tcPr>
            <w:tcW w:w="3117" w:type="dxa"/>
            <w:vAlign w:val="center"/>
          </w:tcPr>
          <w:p w14:paraId="60CC1D78"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64.4</w:t>
            </w:r>
          </w:p>
        </w:tc>
      </w:tr>
      <w:tr w:rsidR="00950924" w:rsidRPr="00950924" w14:paraId="7F304E5F" w14:textId="77777777" w:rsidTr="006677F2">
        <w:trPr>
          <w:trHeight w:val="54"/>
        </w:trPr>
        <w:tc>
          <w:tcPr>
            <w:tcW w:w="3116" w:type="dxa"/>
            <w:vAlign w:val="center"/>
          </w:tcPr>
          <w:p w14:paraId="60C53586"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No Formal Education</w:t>
            </w:r>
          </w:p>
        </w:tc>
        <w:tc>
          <w:tcPr>
            <w:tcW w:w="3117" w:type="dxa"/>
            <w:vAlign w:val="center"/>
          </w:tcPr>
          <w:p w14:paraId="08A34A32"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3</w:t>
            </w:r>
          </w:p>
        </w:tc>
        <w:tc>
          <w:tcPr>
            <w:tcW w:w="3117" w:type="dxa"/>
            <w:vAlign w:val="center"/>
          </w:tcPr>
          <w:p w14:paraId="7B6224F2"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0.9</w:t>
            </w:r>
          </w:p>
        </w:tc>
      </w:tr>
      <w:tr w:rsidR="00950924" w:rsidRPr="00950924" w14:paraId="60E88D2F" w14:textId="77777777" w:rsidTr="006677F2">
        <w:trPr>
          <w:trHeight w:val="54"/>
        </w:trPr>
        <w:tc>
          <w:tcPr>
            <w:tcW w:w="3116" w:type="dxa"/>
            <w:vAlign w:val="center"/>
          </w:tcPr>
          <w:p w14:paraId="7B3B9974"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Total</w:t>
            </w:r>
          </w:p>
        </w:tc>
        <w:tc>
          <w:tcPr>
            <w:tcW w:w="3117" w:type="dxa"/>
            <w:vAlign w:val="center"/>
          </w:tcPr>
          <w:p w14:paraId="387AFC97"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320</w:t>
            </w:r>
          </w:p>
        </w:tc>
        <w:tc>
          <w:tcPr>
            <w:tcW w:w="3117" w:type="dxa"/>
            <w:vAlign w:val="center"/>
          </w:tcPr>
          <w:p w14:paraId="6138F3A9"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100.0</w:t>
            </w:r>
          </w:p>
        </w:tc>
      </w:tr>
      <w:tr w:rsidR="00950924" w:rsidRPr="00950924" w14:paraId="29977D8F" w14:textId="77777777" w:rsidTr="006677F2">
        <w:tc>
          <w:tcPr>
            <w:tcW w:w="3116" w:type="dxa"/>
            <w:vAlign w:val="center"/>
          </w:tcPr>
          <w:p w14:paraId="547D2867"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Occupation</w:t>
            </w:r>
          </w:p>
        </w:tc>
        <w:tc>
          <w:tcPr>
            <w:tcW w:w="3117" w:type="dxa"/>
            <w:vAlign w:val="center"/>
          </w:tcPr>
          <w:p w14:paraId="6083D993" w14:textId="77777777" w:rsidR="00950924" w:rsidRPr="00950924" w:rsidRDefault="00950924" w:rsidP="00950924">
            <w:pPr>
              <w:spacing w:line="259" w:lineRule="auto"/>
              <w:jc w:val="both"/>
              <w:rPr>
                <w:rFonts w:ascii="Garamond" w:hAnsi="Garamond"/>
                <w:bCs/>
                <w:iCs/>
                <w:sz w:val="20"/>
                <w:szCs w:val="20"/>
              </w:rPr>
            </w:pPr>
          </w:p>
        </w:tc>
        <w:tc>
          <w:tcPr>
            <w:tcW w:w="3117" w:type="dxa"/>
            <w:vAlign w:val="center"/>
          </w:tcPr>
          <w:p w14:paraId="3D3EB44B" w14:textId="77777777" w:rsidR="00950924" w:rsidRPr="00950924" w:rsidRDefault="00950924" w:rsidP="00950924">
            <w:pPr>
              <w:spacing w:line="259" w:lineRule="auto"/>
              <w:jc w:val="both"/>
              <w:rPr>
                <w:rFonts w:ascii="Garamond" w:hAnsi="Garamond"/>
                <w:bCs/>
                <w:iCs/>
                <w:sz w:val="20"/>
                <w:szCs w:val="20"/>
              </w:rPr>
            </w:pPr>
          </w:p>
        </w:tc>
      </w:tr>
      <w:tr w:rsidR="00950924" w:rsidRPr="00950924" w14:paraId="600168D5" w14:textId="77777777" w:rsidTr="006677F2">
        <w:trPr>
          <w:trHeight w:val="42"/>
        </w:trPr>
        <w:tc>
          <w:tcPr>
            <w:tcW w:w="3116" w:type="dxa"/>
            <w:vAlign w:val="center"/>
          </w:tcPr>
          <w:p w14:paraId="33B8A866"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Homemaker</w:t>
            </w:r>
          </w:p>
        </w:tc>
        <w:tc>
          <w:tcPr>
            <w:tcW w:w="3117" w:type="dxa"/>
            <w:vAlign w:val="center"/>
          </w:tcPr>
          <w:p w14:paraId="4E21158A"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78</w:t>
            </w:r>
          </w:p>
        </w:tc>
        <w:tc>
          <w:tcPr>
            <w:tcW w:w="3117" w:type="dxa"/>
            <w:vAlign w:val="center"/>
          </w:tcPr>
          <w:p w14:paraId="664429B8"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24.4</w:t>
            </w:r>
          </w:p>
        </w:tc>
      </w:tr>
      <w:tr w:rsidR="00950924" w:rsidRPr="00950924" w14:paraId="7EC95C96" w14:textId="77777777" w:rsidTr="006677F2">
        <w:trPr>
          <w:trHeight w:val="38"/>
        </w:trPr>
        <w:tc>
          <w:tcPr>
            <w:tcW w:w="3116" w:type="dxa"/>
            <w:vAlign w:val="center"/>
          </w:tcPr>
          <w:p w14:paraId="311FB049"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Trader</w:t>
            </w:r>
          </w:p>
        </w:tc>
        <w:tc>
          <w:tcPr>
            <w:tcW w:w="3117" w:type="dxa"/>
            <w:vAlign w:val="center"/>
          </w:tcPr>
          <w:p w14:paraId="27BAB27E"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101</w:t>
            </w:r>
          </w:p>
        </w:tc>
        <w:tc>
          <w:tcPr>
            <w:tcW w:w="3117" w:type="dxa"/>
            <w:vAlign w:val="center"/>
          </w:tcPr>
          <w:p w14:paraId="405E5AAC"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31.6</w:t>
            </w:r>
          </w:p>
        </w:tc>
      </w:tr>
      <w:tr w:rsidR="00950924" w:rsidRPr="00950924" w14:paraId="590994E7" w14:textId="77777777" w:rsidTr="006677F2">
        <w:trPr>
          <w:trHeight w:val="38"/>
        </w:trPr>
        <w:tc>
          <w:tcPr>
            <w:tcW w:w="3116" w:type="dxa"/>
            <w:vAlign w:val="center"/>
          </w:tcPr>
          <w:p w14:paraId="0DF1DA1C"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Teacher</w:t>
            </w:r>
          </w:p>
        </w:tc>
        <w:tc>
          <w:tcPr>
            <w:tcW w:w="3117" w:type="dxa"/>
            <w:vAlign w:val="center"/>
          </w:tcPr>
          <w:p w14:paraId="12492224"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36</w:t>
            </w:r>
          </w:p>
        </w:tc>
        <w:tc>
          <w:tcPr>
            <w:tcW w:w="3117" w:type="dxa"/>
            <w:vAlign w:val="center"/>
          </w:tcPr>
          <w:p w14:paraId="1AAF7AE0"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11.3</w:t>
            </w:r>
          </w:p>
        </w:tc>
      </w:tr>
      <w:tr w:rsidR="00950924" w:rsidRPr="00950924" w14:paraId="38C44D3B" w14:textId="77777777" w:rsidTr="006677F2">
        <w:trPr>
          <w:trHeight w:val="38"/>
        </w:trPr>
        <w:tc>
          <w:tcPr>
            <w:tcW w:w="3116" w:type="dxa"/>
            <w:vAlign w:val="center"/>
          </w:tcPr>
          <w:p w14:paraId="5FA23E3A"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Artisan</w:t>
            </w:r>
          </w:p>
        </w:tc>
        <w:tc>
          <w:tcPr>
            <w:tcW w:w="3117" w:type="dxa"/>
            <w:vAlign w:val="center"/>
          </w:tcPr>
          <w:p w14:paraId="6E3A2EE1"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33</w:t>
            </w:r>
          </w:p>
        </w:tc>
        <w:tc>
          <w:tcPr>
            <w:tcW w:w="3117" w:type="dxa"/>
            <w:vAlign w:val="center"/>
          </w:tcPr>
          <w:p w14:paraId="49255896"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10.3</w:t>
            </w:r>
          </w:p>
        </w:tc>
      </w:tr>
      <w:tr w:rsidR="00950924" w:rsidRPr="00950924" w14:paraId="6FF6EB85" w14:textId="77777777" w:rsidTr="006677F2">
        <w:trPr>
          <w:trHeight w:val="38"/>
        </w:trPr>
        <w:tc>
          <w:tcPr>
            <w:tcW w:w="3116" w:type="dxa"/>
            <w:vAlign w:val="center"/>
          </w:tcPr>
          <w:p w14:paraId="5DD3A8FF"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Civil servant</w:t>
            </w:r>
          </w:p>
        </w:tc>
        <w:tc>
          <w:tcPr>
            <w:tcW w:w="3117" w:type="dxa"/>
            <w:vAlign w:val="center"/>
          </w:tcPr>
          <w:p w14:paraId="1C07334D"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65</w:t>
            </w:r>
          </w:p>
        </w:tc>
        <w:tc>
          <w:tcPr>
            <w:tcW w:w="3117" w:type="dxa"/>
            <w:vAlign w:val="center"/>
          </w:tcPr>
          <w:p w14:paraId="5B47E3B1"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20.3</w:t>
            </w:r>
          </w:p>
        </w:tc>
      </w:tr>
      <w:tr w:rsidR="00950924" w:rsidRPr="00950924" w14:paraId="175DF71C" w14:textId="77777777" w:rsidTr="006677F2">
        <w:trPr>
          <w:trHeight w:val="38"/>
        </w:trPr>
        <w:tc>
          <w:tcPr>
            <w:tcW w:w="3116" w:type="dxa"/>
            <w:vAlign w:val="center"/>
          </w:tcPr>
          <w:p w14:paraId="6EB62E92"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Others</w:t>
            </w:r>
          </w:p>
        </w:tc>
        <w:tc>
          <w:tcPr>
            <w:tcW w:w="3117" w:type="dxa"/>
            <w:vAlign w:val="center"/>
          </w:tcPr>
          <w:p w14:paraId="5E258E8C"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7</w:t>
            </w:r>
          </w:p>
        </w:tc>
        <w:tc>
          <w:tcPr>
            <w:tcW w:w="3117" w:type="dxa"/>
            <w:vAlign w:val="center"/>
          </w:tcPr>
          <w:p w14:paraId="61DA8645"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2.2</w:t>
            </w:r>
          </w:p>
        </w:tc>
      </w:tr>
      <w:tr w:rsidR="00950924" w:rsidRPr="00950924" w14:paraId="66965E5D" w14:textId="77777777" w:rsidTr="006677F2">
        <w:trPr>
          <w:trHeight w:val="38"/>
        </w:trPr>
        <w:tc>
          <w:tcPr>
            <w:tcW w:w="3116" w:type="dxa"/>
            <w:vAlign w:val="center"/>
          </w:tcPr>
          <w:p w14:paraId="0ADDB22F"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Total</w:t>
            </w:r>
          </w:p>
        </w:tc>
        <w:tc>
          <w:tcPr>
            <w:tcW w:w="3117" w:type="dxa"/>
            <w:vAlign w:val="center"/>
          </w:tcPr>
          <w:p w14:paraId="760973B6"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320</w:t>
            </w:r>
          </w:p>
        </w:tc>
        <w:tc>
          <w:tcPr>
            <w:tcW w:w="3117" w:type="dxa"/>
            <w:vAlign w:val="center"/>
          </w:tcPr>
          <w:p w14:paraId="63A907A0"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100.0</w:t>
            </w:r>
          </w:p>
        </w:tc>
      </w:tr>
      <w:tr w:rsidR="00950924" w:rsidRPr="00950924" w14:paraId="2EA67C66" w14:textId="77777777" w:rsidTr="006677F2">
        <w:tc>
          <w:tcPr>
            <w:tcW w:w="3116" w:type="dxa"/>
            <w:vAlign w:val="center"/>
          </w:tcPr>
          <w:p w14:paraId="31AEFC70"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Child’s age</w:t>
            </w:r>
          </w:p>
        </w:tc>
        <w:tc>
          <w:tcPr>
            <w:tcW w:w="3117" w:type="dxa"/>
            <w:vAlign w:val="center"/>
          </w:tcPr>
          <w:p w14:paraId="211728AF" w14:textId="77777777" w:rsidR="00950924" w:rsidRPr="00950924" w:rsidRDefault="00950924" w:rsidP="00950924">
            <w:pPr>
              <w:spacing w:line="259" w:lineRule="auto"/>
              <w:jc w:val="both"/>
              <w:rPr>
                <w:rFonts w:ascii="Garamond" w:hAnsi="Garamond"/>
                <w:bCs/>
                <w:iCs/>
                <w:sz w:val="20"/>
                <w:szCs w:val="20"/>
              </w:rPr>
            </w:pPr>
          </w:p>
        </w:tc>
        <w:tc>
          <w:tcPr>
            <w:tcW w:w="3117" w:type="dxa"/>
            <w:vAlign w:val="center"/>
          </w:tcPr>
          <w:p w14:paraId="10808CCE" w14:textId="77777777" w:rsidR="00950924" w:rsidRPr="00950924" w:rsidRDefault="00950924" w:rsidP="00950924">
            <w:pPr>
              <w:spacing w:line="259" w:lineRule="auto"/>
              <w:jc w:val="both"/>
              <w:rPr>
                <w:rFonts w:ascii="Garamond" w:hAnsi="Garamond"/>
                <w:bCs/>
                <w:iCs/>
                <w:sz w:val="20"/>
                <w:szCs w:val="20"/>
              </w:rPr>
            </w:pPr>
          </w:p>
        </w:tc>
      </w:tr>
      <w:tr w:rsidR="00950924" w:rsidRPr="00950924" w14:paraId="7CB4B761" w14:textId="77777777" w:rsidTr="006677F2">
        <w:trPr>
          <w:trHeight w:val="42"/>
        </w:trPr>
        <w:tc>
          <w:tcPr>
            <w:tcW w:w="3116" w:type="dxa"/>
            <w:vAlign w:val="center"/>
          </w:tcPr>
          <w:p w14:paraId="43FF2C6C"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&lt;1 month</w:t>
            </w:r>
          </w:p>
        </w:tc>
        <w:tc>
          <w:tcPr>
            <w:tcW w:w="3117" w:type="dxa"/>
            <w:vAlign w:val="center"/>
          </w:tcPr>
          <w:p w14:paraId="2F57FD22"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30</w:t>
            </w:r>
          </w:p>
        </w:tc>
        <w:tc>
          <w:tcPr>
            <w:tcW w:w="3117" w:type="dxa"/>
            <w:vAlign w:val="center"/>
          </w:tcPr>
          <w:p w14:paraId="5D96C948"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9.4</w:t>
            </w:r>
          </w:p>
        </w:tc>
      </w:tr>
      <w:tr w:rsidR="00950924" w:rsidRPr="00950924" w14:paraId="7C5F3A82" w14:textId="77777777" w:rsidTr="006677F2">
        <w:trPr>
          <w:trHeight w:val="38"/>
        </w:trPr>
        <w:tc>
          <w:tcPr>
            <w:tcW w:w="3116" w:type="dxa"/>
            <w:vAlign w:val="center"/>
          </w:tcPr>
          <w:p w14:paraId="3BEBF77B"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1-3 months</w:t>
            </w:r>
          </w:p>
        </w:tc>
        <w:tc>
          <w:tcPr>
            <w:tcW w:w="3117" w:type="dxa"/>
            <w:vAlign w:val="center"/>
          </w:tcPr>
          <w:p w14:paraId="6681EB3E"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154</w:t>
            </w:r>
          </w:p>
        </w:tc>
        <w:tc>
          <w:tcPr>
            <w:tcW w:w="3117" w:type="dxa"/>
            <w:vAlign w:val="center"/>
          </w:tcPr>
          <w:p w14:paraId="212AA741"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48.1</w:t>
            </w:r>
          </w:p>
        </w:tc>
      </w:tr>
      <w:tr w:rsidR="00950924" w:rsidRPr="00950924" w14:paraId="27BFEE29" w14:textId="77777777" w:rsidTr="006677F2">
        <w:trPr>
          <w:trHeight w:val="38"/>
        </w:trPr>
        <w:tc>
          <w:tcPr>
            <w:tcW w:w="3116" w:type="dxa"/>
            <w:vAlign w:val="center"/>
          </w:tcPr>
          <w:p w14:paraId="6C547B85"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4-6 months</w:t>
            </w:r>
          </w:p>
        </w:tc>
        <w:tc>
          <w:tcPr>
            <w:tcW w:w="3117" w:type="dxa"/>
            <w:vAlign w:val="center"/>
          </w:tcPr>
          <w:p w14:paraId="0013858C"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44</w:t>
            </w:r>
          </w:p>
        </w:tc>
        <w:tc>
          <w:tcPr>
            <w:tcW w:w="3117" w:type="dxa"/>
            <w:vAlign w:val="center"/>
          </w:tcPr>
          <w:p w14:paraId="07F6F274"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13.8</w:t>
            </w:r>
          </w:p>
        </w:tc>
      </w:tr>
      <w:tr w:rsidR="00950924" w:rsidRPr="00950924" w14:paraId="3BCB0A32" w14:textId="77777777" w:rsidTr="006677F2">
        <w:trPr>
          <w:trHeight w:val="38"/>
        </w:trPr>
        <w:tc>
          <w:tcPr>
            <w:tcW w:w="3116" w:type="dxa"/>
            <w:vAlign w:val="center"/>
          </w:tcPr>
          <w:p w14:paraId="09206DDD"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7 -9 months</w:t>
            </w:r>
          </w:p>
        </w:tc>
        <w:tc>
          <w:tcPr>
            <w:tcW w:w="3117" w:type="dxa"/>
            <w:vAlign w:val="center"/>
          </w:tcPr>
          <w:p w14:paraId="3C2365D1"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51</w:t>
            </w:r>
          </w:p>
        </w:tc>
        <w:tc>
          <w:tcPr>
            <w:tcW w:w="3117" w:type="dxa"/>
            <w:vAlign w:val="center"/>
          </w:tcPr>
          <w:p w14:paraId="3505D50C"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15.9</w:t>
            </w:r>
          </w:p>
        </w:tc>
      </w:tr>
      <w:tr w:rsidR="00950924" w:rsidRPr="00950924" w14:paraId="71FF3AF6" w14:textId="77777777" w:rsidTr="006677F2">
        <w:trPr>
          <w:trHeight w:val="38"/>
        </w:trPr>
        <w:tc>
          <w:tcPr>
            <w:tcW w:w="3116" w:type="dxa"/>
            <w:vAlign w:val="center"/>
          </w:tcPr>
          <w:p w14:paraId="7752FC06"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10-12 months</w:t>
            </w:r>
          </w:p>
        </w:tc>
        <w:tc>
          <w:tcPr>
            <w:tcW w:w="3117" w:type="dxa"/>
            <w:vAlign w:val="center"/>
          </w:tcPr>
          <w:p w14:paraId="459B668B"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25</w:t>
            </w:r>
          </w:p>
        </w:tc>
        <w:tc>
          <w:tcPr>
            <w:tcW w:w="3117" w:type="dxa"/>
            <w:vAlign w:val="center"/>
          </w:tcPr>
          <w:p w14:paraId="75B9BFC7"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7.8</w:t>
            </w:r>
          </w:p>
        </w:tc>
      </w:tr>
      <w:tr w:rsidR="00950924" w:rsidRPr="00950924" w14:paraId="09B8E836" w14:textId="77777777" w:rsidTr="006677F2">
        <w:trPr>
          <w:trHeight w:val="38"/>
        </w:trPr>
        <w:tc>
          <w:tcPr>
            <w:tcW w:w="3116" w:type="dxa"/>
            <w:vAlign w:val="center"/>
          </w:tcPr>
          <w:p w14:paraId="6785F15E"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&gt;12 months</w:t>
            </w:r>
          </w:p>
        </w:tc>
        <w:tc>
          <w:tcPr>
            <w:tcW w:w="3117" w:type="dxa"/>
            <w:vAlign w:val="center"/>
          </w:tcPr>
          <w:p w14:paraId="188982AF"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16</w:t>
            </w:r>
          </w:p>
        </w:tc>
        <w:tc>
          <w:tcPr>
            <w:tcW w:w="3117" w:type="dxa"/>
            <w:vAlign w:val="center"/>
          </w:tcPr>
          <w:p w14:paraId="6E673DC0"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5.0</w:t>
            </w:r>
          </w:p>
        </w:tc>
      </w:tr>
      <w:tr w:rsidR="00950924" w:rsidRPr="00950924" w14:paraId="5FB428E4" w14:textId="77777777" w:rsidTr="006677F2">
        <w:trPr>
          <w:trHeight w:val="38"/>
        </w:trPr>
        <w:tc>
          <w:tcPr>
            <w:tcW w:w="3116" w:type="dxa"/>
            <w:vAlign w:val="center"/>
          </w:tcPr>
          <w:p w14:paraId="15B12408"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Total</w:t>
            </w:r>
          </w:p>
        </w:tc>
        <w:tc>
          <w:tcPr>
            <w:tcW w:w="3117" w:type="dxa"/>
            <w:vAlign w:val="center"/>
          </w:tcPr>
          <w:p w14:paraId="47BFF42A"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320</w:t>
            </w:r>
          </w:p>
        </w:tc>
        <w:tc>
          <w:tcPr>
            <w:tcW w:w="3117" w:type="dxa"/>
            <w:vAlign w:val="center"/>
          </w:tcPr>
          <w:p w14:paraId="2A06BE02"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100.0</w:t>
            </w:r>
          </w:p>
        </w:tc>
      </w:tr>
      <w:tr w:rsidR="00950924" w:rsidRPr="00950924" w14:paraId="6E31CF12" w14:textId="77777777" w:rsidTr="006677F2">
        <w:tc>
          <w:tcPr>
            <w:tcW w:w="3116" w:type="dxa"/>
            <w:vAlign w:val="center"/>
          </w:tcPr>
          <w:p w14:paraId="1D91AEB0"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Child’s birth order</w:t>
            </w:r>
          </w:p>
        </w:tc>
        <w:tc>
          <w:tcPr>
            <w:tcW w:w="3117" w:type="dxa"/>
            <w:vAlign w:val="center"/>
          </w:tcPr>
          <w:p w14:paraId="78E75313" w14:textId="77777777" w:rsidR="00950924" w:rsidRPr="00950924" w:rsidRDefault="00950924" w:rsidP="00950924">
            <w:pPr>
              <w:spacing w:line="259" w:lineRule="auto"/>
              <w:jc w:val="both"/>
              <w:rPr>
                <w:rFonts w:ascii="Garamond" w:hAnsi="Garamond"/>
                <w:bCs/>
                <w:iCs/>
                <w:sz w:val="20"/>
                <w:szCs w:val="20"/>
              </w:rPr>
            </w:pPr>
          </w:p>
        </w:tc>
        <w:tc>
          <w:tcPr>
            <w:tcW w:w="3117" w:type="dxa"/>
            <w:vAlign w:val="center"/>
          </w:tcPr>
          <w:p w14:paraId="5D6B087F" w14:textId="77777777" w:rsidR="00950924" w:rsidRPr="00950924" w:rsidRDefault="00950924" w:rsidP="00950924">
            <w:pPr>
              <w:spacing w:line="259" w:lineRule="auto"/>
              <w:jc w:val="both"/>
              <w:rPr>
                <w:rFonts w:ascii="Garamond" w:hAnsi="Garamond"/>
                <w:bCs/>
                <w:iCs/>
                <w:sz w:val="20"/>
                <w:szCs w:val="20"/>
              </w:rPr>
            </w:pPr>
          </w:p>
        </w:tc>
      </w:tr>
      <w:tr w:rsidR="00950924" w:rsidRPr="00950924" w14:paraId="6AC3D2D2" w14:textId="77777777" w:rsidTr="006677F2">
        <w:trPr>
          <w:trHeight w:val="45"/>
        </w:trPr>
        <w:tc>
          <w:tcPr>
            <w:tcW w:w="3116" w:type="dxa"/>
            <w:vAlign w:val="center"/>
          </w:tcPr>
          <w:p w14:paraId="07E1C4B4"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First</w:t>
            </w:r>
          </w:p>
        </w:tc>
        <w:tc>
          <w:tcPr>
            <w:tcW w:w="3117" w:type="dxa"/>
            <w:vAlign w:val="center"/>
          </w:tcPr>
          <w:p w14:paraId="7B43D4E0"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112</w:t>
            </w:r>
          </w:p>
        </w:tc>
        <w:tc>
          <w:tcPr>
            <w:tcW w:w="3117" w:type="dxa"/>
            <w:vAlign w:val="center"/>
          </w:tcPr>
          <w:p w14:paraId="744A8B02"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35.0</w:t>
            </w:r>
          </w:p>
        </w:tc>
      </w:tr>
      <w:tr w:rsidR="00950924" w:rsidRPr="00950924" w14:paraId="3B1A03E5" w14:textId="77777777" w:rsidTr="006677F2">
        <w:trPr>
          <w:trHeight w:val="45"/>
        </w:trPr>
        <w:tc>
          <w:tcPr>
            <w:tcW w:w="3116" w:type="dxa"/>
            <w:vAlign w:val="center"/>
          </w:tcPr>
          <w:p w14:paraId="757BAF4F"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Second</w:t>
            </w:r>
          </w:p>
        </w:tc>
        <w:tc>
          <w:tcPr>
            <w:tcW w:w="3117" w:type="dxa"/>
            <w:vAlign w:val="center"/>
          </w:tcPr>
          <w:p w14:paraId="25014E8E"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105</w:t>
            </w:r>
          </w:p>
        </w:tc>
        <w:tc>
          <w:tcPr>
            <w:tcW w:w="3117" w:type="dxa"/>
            <w:vAlign w:val="center"/>
          </w:tcPr>
          <w:p w14:paraId="3E2F63F2"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32.8</w:t>
            </w:r>
          </w:p>
        </w:tc>
      </w:tr>
      <w:tr w:rsidR="00950924" w:rsidRPr="00950924" w14:paraId="1C3B9D3E" w14:textId="77777777" w:rsidTr="006677F2">
        <w:trPr>
          <w:trHeight w:val="45"/>
        </w:trPr>
        <w:tc>
          <w:tcPr>
            <w:tcW w:w="3116" w:type="dxa"/>
            <w:vAlign w:val="center"/>
          </w:tcPr>
          <w:p w14:paraId="70143EE1"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Third</w:t>
            </w:r>
          </w:p>
        </w:tc>
        <w:tc>
          <w:tcPr>
            <w:tcW w:w="3117" w:type="dxa"/>
            <w:vAlign w:val="center"/>
          </w:tcPr>
          <w:p w14:paraId="53BD4402"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59</w:t>
            </w:r>
          </w:p>
        </w:tc>
        <w:tc>
          <w:tcPr>
            <w:tcW w:w="3117" w:type="dxa"/>
            <w:vAlign w:val="center"/>
          </w:tcPr>
          <w:p w14:paraId="1EE6EDC0"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18.4</w:t>
            </w:r>
          </w:p>
        </w:tc>
      </w:tr>
      <w:tr w:rsidR="00950924" w:rsidRPr="00950924" w14:paraId="4767B14B" w14:textId="77777777" w:rsidTr="006677F2">
        <w:trPr>
          <w:trHeight w:val="45"/>
        </w:trPr>
        <w:tc>
          <w:tcPr>
            <w:tcW w:w="3116" w:type="dxa"/>
            <w:vAlign w:val="center"/>
          </w:tcPr>
          <w:p w14:paraId="360C19BB"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Fourth</w:t>
            </w:r>
          </w:p>
        </w:tc>
        <w:tc>
          <w:tcPr>
            <w:tcW w:w="3117" w:type="dxa"/>
            <w:vAlign w:val="center"/>
          </w:tcPr>
          <w:p w14:paraId="0943FC58"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28</w:t>
            </w:r>
          </w:p>
        </w:tc>
        <w:tc>
          <w:tcPr>
            <w:tcW w:w="3117" w:type="dxa"/>
            <w:vAlign w:val="center"/>
          </w:tcPr>
          <w:p w14:paraId="1034748B"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8.8</w:t>
            </w:r>
          </w:p>
        </w:tc>
      </w:tr>
      <w:tr w:rsidR="00950924" w:rsidRPr="00950924" w14:paraId="4C649F2E" w14:textId="77777777" w:rsidTr="006677F2">
        <w:trPr>
          <w:trHeight w:val="45"/>
        </w:trPr>
        <w:tc>
          <w:tcPr>
            <w:tcW w:w="3116" w:type="dxa"/>
            <w:vAlign w:val="center"/>
          </w:tcPr>
          <w:p w14:paraId="700957F2"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Fifth and above</w:t>
            </w:r>
          </w:p>
        </w:tc>
        <w:tc>
          <w:tcPr>
            <w:tcW w:w="3117" w:type="dxa"/>
            <w:vAlign w:val="center"/>
          </w:tcPr>
          <w:p w14:paraId="317FC69E"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16</w:t>
            </w:r>
          </w:p>
        </w:tc>
        <w:tc>
          <w:tcPr>
            <w:tcW w:w="3117" w:type="dxa"/>
            <w:vAlign w:val="center"/>
          </w:tcPr>
          <w:p w14:paraId="0DF35DDD"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5.0</w:t>
            </w:r>
          </w:p>
        </w:tc>
      </w:tr>
      <w:tr w:rsidR="00950924" w:rsidRPr="00950924" w14:paraId="01ACBFAC" w14:textId="77777777" w:rsidTr="006677F2">
        <w:trPr>
          <w:trHeight w:val="45"/>
        </w:trPr>
        <w:tc>
          <w:tcPr>
            <w:tcW w:w="3116" w:type="dxa"/>
            <w:vAlign w:val="center"/>
          </w:tcPr>
          <w:p w14:paraId="4B3B94E2"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Total</w:t>
            </w:r>
          </w:p>
        </w:tc>
        <w:tc>
          <w:tcPr>
            <w:tcW w:w="3117" w:type="dxa"/>
            <w:vAlign w:val="center"/>
          </w:tcPr>
          <w:p w14:paraId="47CB6E87"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320</w:t>
            </w:r>
          </w:p>
        </w:tc>
        <w:tc>
          <w:tcPr>
            <w:tcW w:w="3117" w:type="dxa"/>
            <w:vAlign w:val="center"/>
          </w:tcPr>
          <w:p w14:paraId="625C155F"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100.0</w:t>
            </w:r>
          </w:p>
        </w:tc>
      </w:tr>
    </w:tbl>
    <w:p w14:paraId="5B41DB03" w14:textId="77777777" w:rsidR="00950924" w:rsidRPr="00950924" w:rsidRDefault="00950924" w:rsidP="00950924">
      <w:pPr>
        <w:spacing w:line="259" w:lineRule="auto"/>
        <w:jc w:val="both"/>
        <w:rPr>
          <w:rFonts w:ascii="Garamond" w:hAnsi="Garamond"/>
          <w:bCs/>
          <w:iCs/>
          <w:sz w:val="20"/>
          <w:szCs w:val="20"/>
        </w:rPr>
      </w:pPr>
    </w:p>
    <w:p w14:paraId="087BDE68" w14:textId="359741FA"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One hundred and </w:t>
      </w:r>
      <w:r w:rsidR="00691BD8" w:rsidRPr="00950924">
        <w:rPr>
          <w:rFonts w:ascii="Garamond" w:hAnsi="Garamond"/>
          <w:bCs/>
          <w:iCs/>
          <w:sz w:val="20"/>
          <w:szCs w:val="20"/>
        </w:rPr>
        <w:t>thirty-nine</w:t>
      </w:r>
      <w:r w:rsidRPr="00950924">
        <w:rPr>
          <w:rFonts w:ascii="Garamond" w:hAnsi="Garamond"/>
          <w:bCs/>
          <w:iCs/>
          <w:sz w:val="20"/>
          <w:szCs w:val="20"/>
        </w:rPr>
        <w:t xml:space="preserve"> (43.4%) reported that they had used TEM on the eyes of their children. The prevalence of TEM use was 43.4% (139/</w:t>
      </w:r>
      <w:proofErr w:type="gramStart"/>
      <w:r w:rsidRPr="00950924">
        <w:rPr>
          <w:rFonts w:ascii="Garamond" w:hAnsi="Garamond"/>
          <w:bCs/>
          <w:iCs/>
          <w:sz w:val="20"/>
          <w:szCs w:val="20"/>
        </w:rPr>
        <w:t>320)(</w:t>
      </w:r>
      <w:proofErr w:type="gramEnd"/>
      <w:r w:rsidRPr="00950924">
        <w:rPr>
          <w:rFonts w:ascii="Garamond" w:hAnsi="Garamond"/>
          <w:bCs/>
          <w:iCs/>
          <w:sz w:val="20"/>
          <w:szCs w:val="20"/>
        </w:rPr>
        <w:t>95%CI: 0.379-0.491). Breast milk 84(26.3%) was the most commonly used TEM followed by antimony granules “</w:t>
      </w:r>
      <w:proofErr w:type="spellStart"/>
      <w:r w:rsidRPr="00950924">
        <w:rPr>
          <w:rFonts w:ascii="Garamond" w:hAnsi="Garamond"/>
          <w:bCs/>
          <w:iCs/>
          <w:sz w:val="20"/>
          <w:szCs w:val="20"/>
        </w:rPr>
        <w:t>otangele</w:t>
      </w:r>
      <w:proofErr w:type="spellEnd"/>
      <w:r w:rsidRPr="00950924">
        <w:rPr>
          <w:rFonts w:ascii="Garamond" w:hAnsi="Garamond"/>
          <w:bCs/>
          <w:iCs/>
          <w:sz w:val="20"/>
          <w:szCs w:val="20"/>
        </w:rPr>
        <w:t>”. (Table 2) The mean number of TEM used per participant was 1.3 ± 0.5; range was 1 to 3.  Up to 32 (10.0%) participants used two or more TEM while 107 (33.4%) used only one.</w:t>
      </w:r>
    </w:p>
    <w:p w14:paraId="3D4BCEF5" w14:textId="77777777" w:rsidR="00950924" w:rsidRDefault="00950924" w:rsidP="00950924">
      <w:pPr>
        <w:spacing w:line="259" w:lineRule="auto"/>
        <w:jc w:val="both"/>
        <w:rPr>
          <w:rFonts w:ascii="Garamond" w:hAnsi="Garamond"/>
          <w:b/>
          <w:bCs/>
          <w:iCs/>
          <w:sz w:val="20"/>
          <w:szCs w:val="20"/>
        </w:rPr>
      </w:pPr>
    </w:p>
    <w:p w14:paraId="130FFDDF" w14:textId="2D4B5014" w:rsidR="00950924" w:rsidRPr="00950924" w:rsidRDefault="00950924" w:rsidP="00950924">
      <w:pPr>
        <w:spacing w:line="259" w:lineRule="auto"/>
        <w:jc w:val="both"/>
        <w:rPr>
          <w:rFonts w:ascii="Garamond" w:hAnsi="Garamond"/>
          <w:bCs/>
          <w:iCs/>
          <w:sz w:val="20"/>
          <w:szCs w:val="20"/>
        </w:rPr>
      </w:pPr>
      <w:r w:rsidRPr="00950924">
        <w:rPr>
          <w:rFonts w:ascii="Garamond" w:hAnsi="Garamond"/>
          <w:b/>
          <w:bCs/>
          <w:iCs/>
          <w:sz w:val="20"/>
          <w:szCs w:val="20"/>
        </w:rPr>
        <w:t xml:space="preserve">Table 2: </w:t>
      </w:r>
      <w:r w:rsidRPr="00950924">
        <w:rPr>
          <w:rFonts w:ascii="Garamond" w:hAnsi="Garamond"/>
          <w:iCs/>
          <w:sz w:val="20"/>
          <w:szCs w:val="20"/>
        </w:rPr>
        <w:t>Type of Traditional Eye Medicines Used</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9"/>
        <w:gridCol w:w="1388"/>
        <w:gridCol w:w="1343"/>
      </w:tblGrid>
      <w:tr w:rsidR="00950924" w:rsidRPr="00950924" w14:paraId="20E5238E" w14:textId="77777777" w:rsidTr="006677F2">
        <w:tc>
          <w:tcPr>
            <w:tcW w:w="3116" w:type="dxa"/>
            <w:tcBorders>
              <w:top w:val="single" w:sz="4" w:space="0" w:color="auto"/>
              <w:bottom w:val="single" w:sz="4" w:space="0" w:color="auto"/>
            </w:tcBorders>
          </w:tcPr>
          <w:p w14:paraId="678B0F6E"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TEM* Type</w:t>
            </w:r>
          </w:p>
        </w:tc>
        <w:tc>
          <w:tcPr>
            <w:tcW w:w="3117" w:type="dxa"/>
            <w:tcBorders>
              <w:top w:val="single" w:sz="4" w:space="0" w:color="auto"/>
              <w:bottom w:val="single" w:sz="4" w:space="0" w:color="auto"/>
            </w:tcBorders>
          </w:tcPr>
          <w:p w14:paraId="5CDBCA5F"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 xml:space="preserve">Yes </w:t>
            </w:r>
          </w:p>
          <w:p w14:paraId="76EF8F6D"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no (</w:t>
            </w:r>
            <w:proofErr w:type="gramStart"/>
            <w:r w:rsidRPr="00950924">
              <w:rPr>
                <w:rFonts w:ascii="Garamond" w:hAnsi="Garamond"/>
                <w:b/>
                <w:bCs/>
                <w:iCs/>
                <w:sz w:val="20"/>
                <w:szCs w:val="20"/>
              </w:rPr>
              <w:t>%)*</w:t>
            </w:r>
            <w:proofErr w:type="gramEnd"/>
            <w:r w:rsidRPr="00950924">
              <w:rPr>
                <w:rFonts w:ascii="Garamond" w:hAnsi="Garamond"/>
                <w:b/>
                <w:bCs/>
                <w:iCs/>
                <w:sz w:val="20"/>
                <w:szCs w:val="20"/>
              </w:rPr>
              <w:t>*</w:t>
            </w:r>
          </w:p>
        </w:tc>
        <w:tc>
          <w:tcPr>
            <w:tcW w:w="3117" w:type="dxa"/>
            <w:tcBorders>
              <w:top w:val="single" w:sz="4" w:space="0" w:color="auto"/>
              <w:bottom w:val="single" w:sz="4" w:space="0" w:color="auto"/>
            </w:tcBorders>
          </w:tcPr>
          <w:p w14:paraId="5F5E3E89"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 xml:space="preserve"> No </w:t>
            </w:r>
          </w:p>
          <w:p w14:paraId="3D91E403"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no (%)</w:t>
            </w:r>
          </w:p>
        </w:tc>
      </w:tr>
      <w:tr w:rsidR="00950924" w:rsidRPr="00950924" w14:paraId="786164EA" w14:textId="77777777" w:rsidTr="006677F2">
        <w:tc>
          <w:tcPr>
            <w:tcW w:w="3116" w:type="dxa"/>
            <w:tcBorders>
              <w:top w:val="single" w:sz="4" w:space="0" w:color="auto"/>
            </w:tcBorders>
          </w:tcPr>
          <w:p w14:paraId="1191B79C"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Breast Milk</w:t>
            </w:r>
          </w:p>
        </w:tc>
        <w:tc>
          <w:tcPr>
            <w:tcW w:w="3117" w:type="dxa"/>
            <w:tcBorders>
              <w:top w:val="single" w:sz="4" w:space="0" w:color="auto"/>
            </w:tcBorders>
          </w:tcPr>
          <w:p w14:paraId="1E3D97EB"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84 (26.2)</w:t>
            </w:r>
          </w:p>
        </w:tc>
        <w:tc>
          <w:tcPr>
            <w:tcW w:w="3117" w:type="dxa"/>
            <w:tcBorders>
              <w:top w:val="single" w:sz="4" w:space="0" w:color="auto"/>
            </w:tcBorders>
          </w:tcPr>
          <w:p w14:paraId="3BF9C759"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236 (73.8)</w:t>
            </w:r>
          </w:p>
        </w:tc>
      </w:tr>
      <w:tr w:rsidR="00950924" w:rsidRPr="00950924" w14:paraId="79A51EEA" w14:textId="77777777" w:rsidTr="006677F2">
        <w:tc>
          <w:tcPr>
            <w:tcW w:w="3116" w:type="dxa"/>
          </w:tcPr>
          <w:p w14:paraId="4B695F11"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Antimony granules (</w:t>
            </w:r>
            <w:proofErr w:type="spellStart"/>
            <w:r w:rsidRPr="00950924">
              <w:rPr>
                <w:rFonts w:ascii="Garamond" w:hAnsi="Garamond"/>
                <w:bCs/>
                <w:iCs/>
                <w:sz w:val="20"/>
                <w:szCs w:val="20"/>
              </w:rPr>
              <w:t>otangele</w:t>
            </w:r>
            <w:proofErr w:type="spellEnd"/>
            <w:r w:rsidRPr="00950924">
              <w:rPr>
                <w:rFonts w:ascii="Garamond" w:hAnsi="Garamond"/>
                <w:bCs/>
                <w:iCs/>
                <w:sz w:val="20"/>
                <w:szCs w:val="20"/>
              </w:rPr>
              <w:t>)</w:t>
            </w:r>
          </w:p>
        </w:tc>
        <w:tc>
          <w:tcPr>
            <w:tcW w:w="3117" w:type="dxa"/>
          </w:tcPr>
          <w:p w14:paraId="2470E4F8"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81 (25.3)</w:t>
            </w:r>
          </w:p>
        </w:tc>
        <w:tc>
          <w:tcPr>
            <w:tcW w:w="3117" w:type="dxa"/>
          </w:tcPr>
          <w:p w14:paraId="1A0CD71C"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239 (74.7)</w:t>
            </w:r>
          </w:p>
        </w:tc>
      </w:tr>
      <w:tr w:rsidR="00950924" w:rsidRPr="00950924" w14:paraId="1D6D553B" w14:textId="77777777" w:rsidTr="006677F2">
        <w:tc>
          <w:tcPr>
            <w:tcW w:w="3116" w:type="dxa"/>
          </w:tcPr>
          <w:p w14:paraId="4E9FFDBA"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Holy water</w:t>
            </w:r>
          </w:p>
        </w:tc>
        <w:tc>
          <w:tcPr>
            <w:tcW w:w="3117" w:type="dxa"/>
          </w:tcPr>
          <w:p w14:paraId="6AD5B92F"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6 (1.9)</w:t>
            </w:r>
          </w:p>
        </w:tc>
        <w:tc>
          <w:tcPr>
            <w:tcW w:w="3117" w:type="dxa"/>
          </w:tcPr>
          <w:p w14:paraId="242E4081"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314 (98.1)</w:t>
            </w:r>
          </w:p>
        </w:tc>
      </w:tr>
      <w:tr w:rsidR="00950924" w:rsidRPr="00950924" w14:paraId="71181231" w14:textId="77777777" w:rsidTr="006677F2">
        <w:tc>
          <w:tcPr>
            <w:tcW w:w="3116" w:type="dxa"/>
          </w:tcPr>
          <w:p w14:paraId="066B6D09"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Urine </w:t>
            </w:r>
          </w:p>
        </w:tc>
        <w:tc>
          <w:tcPr>
            <w:tcW w:w="3117" w:type="dxa"/>
          </w:tcPr>
          <w:p w14:paraId="6242B960"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2 (0.6)</w:t>
            </w:r>
          </w:p>
        </w:tc>
        <w:tc>
          <w:tcPr>
            <w:tcW w:w="3117" w:type="dxa"/>
          </w:tcPr>
          <w:p w14:paraId="34CE802D"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318 (99.4)</w:t>
            </w:r>
          </w:p>
        </w:tc>
      </w:tr>
      <w:tr w:rsidR="00950924" w:rsidRPr="00950924" w14:paraId="0F04E44D" w14:textId="77777777" w:rsidTr="006677F2">
        <w:tc>
          <w:tcPr>
            <w:tcW w:w="3116" w:type="dxa"/>
          </w:tcPr>
          <w:p w14:paraId="437EC575"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Olive oil</w:t>
            </w:r>
          </w:p>
        </w:tc>
        <w:tc>
          <w:tcPr>
            <w:tcW w:w="3117" w:type="dxa"/>
          </w:tcPr>
          <w:p w14:paraId="7169E375"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2 (0.6)</w:t>
            </w:r>
          </w:p>
        </w:tc>
        <w:tc>
          <w:tcPr>
            <w:tcW w:w="3117" w:type="dxa"/>
          </w:tcPr>
          <w:p w14:paraId="0647E410"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318 (99.4)</w:t>
            </w:r>
          </w:p>
        </w:tc>
      </w:tr>
      <w:tr w:rsidR="00950924" w:rsidRPr="00950924" w14:paraId="01ADD9D6" w14:textId="77777777" w:rsidTr="006677F2">
        <w:tc>
          <w:tcPr>
            <w:tcW w:w="3116" w:type="dxa"/>
          </w:tcPr>
          <w:p w14:paraId="49B71113"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Plant extract</w:t>
            </w:r>
          </w:p>
        </w:tc>
        <w:tc>
          <w:tcPr>
            <w:tcW w:w="3117" w:type="dxa"/>
          </w:tcPr>
          <w:p w14:paraId="0F16DB19"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1 (0.3)</w:t>
            </w:r>
          </w:p>
        </w:tc>
        <w:tc>
          <w:tcPr>
            <w:tcW w:w="3117" w:type="dxa"/>
          </w:tcPr>
          <w:p w14:paraId="7AE015B6"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319 (99.7)</w:t>
            </w:r>
          </w:p>
        </w:tc>
      </w:tr>
      <w:tr w:rsidR="00950924" w:rsidRPr="00950924" w14:paraId="184724C0" w14:textId="77777777" w:rsidTr="006677F2">
        <w:tc>
          <w:tcPr>
            <w:tcW w:w="3116" w:type="dxa"/>
          </w:tcPr>
          <w:p w14:paraId="058A9DD2"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Human Saliva</w:t>
            </w:r>
          </w:p>
        </w:tc>
        <w:tc>
          <w:tcPr>
            <w:tcW w:w="3117" w:type="dxa"/>
          </w:tcPr>
          <w:p w14:paraId="31D521D0"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 (0.3)</w:t>
            </w:r>
          </w:p>
        </w:tc>
        <w:tc>
          <w:tcPr>
            <w:tcW w:w="3117" w:type="dxa"/>
          </w:tcPr>
          <w:p w14:paraId="587EEC96"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319 (99.7)</w:t>
            </w:r>
          </w:p>
        </w:tc>
      </w:tr>
    </w:tbl>
    <w:p w14:paraId="7C59AB45"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*TEM =Traditional Eye Medicine; **% based on 320 participants. Some participants used multiple items</w:t>
      </w:r>
    </w:p>
    <w:p w14:paraId="170C67E3"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The most common indication for use of TEM was for eye discharge by 48 (34.5%). Up to 35 (25.2%) mothers used TEM for multiple problems. (Table 3). Majority of the recommendation for TEM use was made to these mothers by the children’s grandmothers 86 (61.9%), other sources were friends, 28 (20.1%); birth attendant or chemist 12(8.6%); traditional/spiritual healer 3 (2.2%); self-motivated 3 (2.2%) and others 7 (5.0%).The most common reason for using TEM was because the mothers thought they were effective, 69 (49.6%). Seventeen (12.2%) mothers used TEM on their children because they were available, 15 (10.8%) because of trust in the person that recommended the TEM, 13 (9.4%) because they were cheap while 25 (18.0%) had multiple reasons for using TEM on their children’s eyes.</w:t>
      </w:r>
    </w:p>
    <w:p w14:paraId="6931FAB3" w14:textId="77777777" w:rsidR="00950924" w:rsidRDefault="00950924" w:rsidP="00950924">
      <w:pPr>
        <w:spacing w:line="259" w:lineRule="auto"/>
        <w:jc w:val="both"/>
        <w:rPr>
          <w:rFonts w:ascii="Garamond" w:hAnsi="Garamond"/>
          <w:b/>
          <w:bCs/>
          <w:iCs/>
          <w:sz w:val="20"/>
          <w:szCs w:val="20"/>
        </w:rPr>
      </w:pPr>
    </w:p>
    <w:p w14:paraId="51FA1FA5" w14:textId="0BB63C3F"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 xml:space="preserve">Table 3: </w:t>
      </w:r>
      <w:r w:rsidRPr="00950924">
        <w:rPr>
          <w:rFonts w:ascii="Garamond" w:hAnsi="Garamond"/>
          <w:iCs/>
          <w:sz w:val="20"/>
          <w:szCs w:val="20"/>
        </w:rPr>
        <w:t>Indications for TEM Use</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9"/>
        <w:gridCol w:w="1267"/>
        <w:gridCol w:w="1364"/>
      </w:tblGrid>
      <w:tr w:rsidR="00950924" w:rsidRPr="00950924" w14:paraId="7C94C836" w14:textId="77777777" w:rsidTr="006677F2">
        <w:tc>
          <w:tcPr>
            <w:tcW w:w="3116" w:type="dxa"/>
            <w:tcBorders>
              <w:top w:val="single" w:sz="4" w:space="0" w:color="auto"/>
              <w:bottom w:val="single" w:sz="4" w:space="0" w:color="auto"/>
            </w:tcBorders>
            <w:vAlign w:val="center"/>
          </w:tcPr>
          <w:p w14:paraId="039CCEEB"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Indication</w:t>
            </w:r>
          </w:p>
        </w:tc>
        <w:tc>
          <w:tcPr>
            <w:tcW w:w="3117" w:type="dxa"/>
            <w:tcBorders>
              <w:top w:val="single" w:sz="4" w:space="0" w:color="auto"/>
              <w:bottom w:val="single" w:sz="4" w:space="0" w:color="auto"/>
            </w:tcBorders>
            <w:vAlign w:val="center"/>
          </w:tcPr>
          <w:p w14:paraId="31BAB5E9"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No</w:t>
            </w:r>
          </w:p>
        </w:tc>
        <w:tc>
          <w:tcPr>
            <w:tcW w:w="3117" w:type="dxa"/>
            <w:tcBorders>
              <w:top w:val="single" w:sz="4" w:space="0" w:color="auto"/>
              <w:bottom w:val="single" w:sz="4" w:space="0" w:color="auto"/>
            </w:tcBorders>
            <w:vAlign w:val="center"/>
          </w:tcPr>
          <w:p w14:paraId="62E16962"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w:t>
            </w:r>
          </w:p>
        </w:tc>
      </w:tr>
      <w:tr w:rsidR="00950924" w:rsidRPr="00950924" w14:paraId="0B374A9E" w14:textId="77777777" w:rsidTr="006677F2">
        <w:tc>
          <w:tcPr>
            <w:tcW w:w="3116" w:type="dxa"/>
            <w:tcBorders>
              <w:top w:val="single" w:sz="4" w:space="0" w:color="auto"/>
            </w:tcBorders>
            <w:vAlign w:val="center"/>
          </w:tcPr>
          <w:p w14:paraId="72D1CA3B"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Eye discharge</w:t>
            </w:r>
          </w:p>
        </w:tc>
        <w:tc>
          <w:tcPr>
            <w:tcW w:w="3117" w:type="dxa"/>
            <w:tcBorders>
              <w:top w:val="single" w:sz="4" w:space="0" w:color="auto"/>
            </w:tcBorders>
            <w:vAlign w:val="center"/>
          </w:tcPr>
          <w:p w14:paraId="75483B22"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48</w:t>
            </w:r>
          </w:p>
        </w:tc>
        <w:tc>
          <w:tcPr>
            <w:tcW w:w="3117" w:type="dxa"/>
            <w:tcBorders>
              <w:top w:val="single" w:sz="4" w:space="0" w:color="auto"/>
            </w:tcBorders>
            <w:vAlign w:val="center"/>
          </w:tcPr>
          <w:p w14:paraId="6F11715F"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34.5</w:t>
            </w:r>
          </w:p>
        </w:tc>
      </w:tr>
      <w:tr w:rsidR="00950924" w:rsidRPr="00950924" w14:paraId="145686BC" w14:textId="77777777" w:rsidTr="006677F2">
        <w:tc>
          <w:tcPr>
            <w:tcW w:w="3116" w:type="dxa"/>
            <w:vAlign w:val="center"/>
          </w:tcPr>
          <w:p w14:paraId="633641AC"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To make eyes appear clearer</w:t>
            </w:r>
          </w:p>
        </w:tc>
        <w:tc>
          <w:tcPr>
            <w:tcW w:w="3117" w:type="dxa"/>
            <w:vAlign w:val="center"/>
          </w:tcPr>
          <w:p w14:paraId="33825F1E"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34</w:t>
            </w:r>
          </w:p>
        </w:tc>
        <w:tc>
          <w:tcPr>
            <w:tcW w:w="3117" w:type="dxa"/>
            <w:vAlign w:val="center"/>
          </w:tcPr>
          <w:p w14:paraId="2B87D080"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24.5</w:t>
            </w:r>
          </w:p>
        </w:tc>
      </w:tr>
      <w:tr w:rsidR="00950924" w:rsidRPr="00950924" w14:paraId="5B0BFB03" w14:textId="77777777" w:rsidTr="006677F2">
        <w:tc>
          <w:tcPr>
            <w:tcW w:w="3116" w:type="dxa"/>
            <w:vAlign w:val="center"/>
          </w:tcPr>
          <w:p w14:paraId="567B91AB"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Red eyes</w:t>
            </w:r>
          </w:p>
        </w:tc>
        <w:tc>
          <w:tcPr>
            <w:tcW w:w="3117" w:type="dxa"/>
            <w:vAlign w:val="center"/>
          </w:tcPr>
          <w:p w14:paraId="5D902FE0"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14</w:t>
            </w:r>
          </w:p>
        </w:tc>
        <w:tc>
          <w:tcPr>
            <w:tcW w:w="3117" w:type="dxa"/>
            <w:vAlign w:val="center"/>
          </w:tcPr>
          <w:p w14:paraId="7F898DA5"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10.1</w:t>
            </w:r>
          </w:p>
        </w:tc>
      </w:tr>
      <w:tr w:rsidR="00950924" w:rsidRPr="00950924" w14:paraId="6B07C864" w14:textId="77777777" w:rsidTr="006677F2">
        <w:tc>
          <w:tcPr>
            <w:tcW w:w="3116" w:type="dxa"/>
            <w:vAlign w:val="center"/>
          </w:tcPr>
          <w:p w14:paraId="75A97688"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Itching</w:t>
            </w:r>
          </w:p>
        </w:tc>
        <w:tc>
          <w:tcPr>
            <w:tcW w:w="3117" w:type="dxa"/>
            <w:vAlign w:val="center"/>
          </w:tcPr>
          <w:p w14:paraId="01353473"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4</w:t>
            </w:r>
          </w:p>
        </w:tc>
        <w:tc>
          <w:tcPr>
            <w:tcW w:w="3117" w:type="dxa"/>
            <w:vAlign w:val="center"/>
          </w:tcPr>
          <w:p w14:paraId="7129C8C3"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2.9</w:t>
            </w:r>
          </w:p>
        </w:tc>
      </w:tr>
      <w:tr w:rsidR="00950924" w:rsidRPr="00950924" w14:paraId="41A85665" w14:textId="77777777" w:rsidTr="006677F2">
        <w:tc>
          <w:tcPr>
            <w:tcW w:w="3116" w:type="dxa"/>
            <w:vAlign w:val="center"/>
          </w:tcPr>
          <w:p w14:paraId="249F8AC2"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Vision loss</w:t>
            </w:r>
          </w:p>
        </w:tc>
        <w:tc>
          <w:tcPr>
            <w:tcW w:w="3117" w:type="dxa"/>
            <w:vAlign w:val="center"/>
          </w:tcPr>
          <w:p w14:paraId="179AF3A5"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2</w:t>
            </w:r>
          </w:p>
        </w:tc>
        <w:tc>
          <w:tcPr>
            <w:tcW w:w="3117" w:type="dxa"/>
            <w:vAlign w:val="center"/>
          </w:tcPr>
          <w:p w14:paraId="2E81B924"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1.4</w:t>
            </w:r>
          </w:p>
        </w:tc>
      </w:tr>
      <w:tr w:rsidR="00950924" w:rsidRPr="00950924" w14:paraId="48D5E70A" w14:textId="77777777" w:rsidTr="006677F2">
        <w:tc>
          <w:tcPr>
            <w:tcW w:w="3116" w:type="dxa"/>
            <w:vAlign w:val="center"/>
          </w:tcPr>
          <w:p w14:paraId="720742FF"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lastRenderedPageBreak/>
              <w:t>Prevention of eye disease</w:t>
            </w:r>
          </w:p>
        </w:tc>
        <w:tc>
          <w:tcPr>
            <w:tcW w:w="3117" w:type="dxa"/>
            <w:vAlign w:val="center"/>
          </w:tcPr>
          <w:p w14:paraId="1BA21678"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2</w:t>
            </w:r>
          </w:p>
        </w:tc>
        <w:tc>
          <w:tcPr>
            <w:tcW w:w="3117" w:type="dxa"/>
            <w:vAlign w:val="center"/>
          </w:tcPr>
          <w:p w14:paraId="3444A760"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1.4</w:t>
            </w:r>
          </w:p>
        </w:tc>
      </w:tr>
      <w:tr w:rsidR="00950924" w:rsidRPr="00950924" w14:paraId="65E989C7" w14:textId="77777777" w:rsidTr="006677F2">
        <w:tc>
          <w:tcPr>
            <w:tcW w:w="3116" w:type="dxa"/>
            <w:vAlign w:val="center"/>
          </w:tcPr>
          <w:p w14:paraId="510D4A51"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Multiple indications</w:t>
            </w:r>
          </w:p>
        </w:tc>
        <w:tc>
          <w:tcPr>
            <w:tcW w:w="3117" w:type="dxa"/>
            <w:vAlign w:val="center"/>
          </w:tcPr>
          <w:p w14:paraId="05E8DD8C"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35</w:t>
            </w:r>
          </w:p>
        </w:tc>
        <w:tc>
          <w:tcPr>
            <w:tcW w:w="3117" w:type="dxa"/>
            <w:vAlign w:val="center"/>
          </w:tcPr>
          <w:p w14:paraId="5187E859"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25.2</w:t>
            </w:r>
          </w:p>
        </w:tc>
      </w:tr>
      <w:tr w:rsidR="00950924" w:rsidRPr="00950924" w14:paraId="146ED269" w14:textId="77777777" w:rsidTr="006677F2">
        <w:tc>
          <w:tcPr>
            <w:tcW w:w="3116" w:type="dxa"/>
            <w:vAlign w:val="center"/>
          </w:tcPr>
          <w:p w14:paraId="4B578344"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Total </w:t>
            </w:r>
          </w:p>
        </w:tc>
        <w:tc>
          <w:tcPr>
            <w:tcW w:w="3117" w:type="dxa"/>
            <w:vAlign w:val="center"/>
          </w:tcPr>
          <w:p w14:paraId="775397B9"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139</w:t>
            </w:r>
          </w:p>
        </w:tc>
        <w:tc>
          <w:tcPr>
            <w:tcW w:w="3117" w:type="dxa"/>
            <w:vAlign w:val="center"/>
          </w:tcPr>
          <w:p w14:paraId="5CF0941C"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100.0</w:t>
            </w:r>
          </w:p>
        </w:tc>
      </w:tr>
    </w:tbl>
    <w:p w14:paraId="7A8AD09F" w14:textId="77777777" w:rsidR="00950924" w:rsidRPr="00950924" w:rsidRDefault="00950924" w:rsidP="00950924">
      <w:pPr>
        <w:spacing w:line="259" w:lineRule="auto"/>
        <w:jc w:val="both"/>
        <w:rPr>
          <w:rFonts w:ascii="Garamond" w:hAnsi="Garamond"/>
          <w:bCs/>
          <w:iCs/>
          <w:sz w:val="20"/>
          <w:szCs w:val="20"/>
        </w:rPr>
      </w:pPr>
    </w:p>
    <w:p w14:paraId="3A7252BB"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Eighteen (5.6%) of the mothers had donated breastmilk to others for treatment of an eye problem. All mothers that reported donating breast milk for use by others for their eye problems had used TEM on their children’s eyes (</w:t>
      </w:r>
      <w:r w:rsidRPr="00950924">
        <w:rPr>
          <w:rFonts w:ascii="Garamond" w:hAnsi="Garamond"/>
          <w:bCs/>
          <w:i/>
          <w:iCs/>
          <w:sz w:val="20"/>
          <w:szCs w:val="20"/>
        </w:rPr>
        <w:t>X</w:t>
      </w:r>
      <w:r w:rsidRPr="00950924">
        <w:rPr>
          <w:rFonts w:ascii="Garamond" w:hAnsi="Garamond"/>
          <w:bCs/>
          <w:i/>
          <w:iCs/>
          <w:sz w:val="20"/>
          <w:szCs w:val="20"/>
          <w:vertAlign w:val="superscript"/>
        </w:rPr>
        <w:t>2</w:t>
      </w:r>
      <w:r w:rsidRPr="00950924">
        <w:rPr>
          <w:rFonts w:ascii="Garamond" w:hAnsi="Garamond"/>
          <w:bCs/>
          <w:iCs/>
          <w:sz w:val="20"/>
          <w:szCs w:val="20"/>
        </w:rPr>
        <w:t>(1) = 24.836; p =0.001). Out of these, 15 (83.3%) reported instilling breast milk in their children’s eye while 3 (16.7%) did not. (</w:t>
      </w:r>
      <w:r w:rsidRPr="00950924">
        <w:rPr>
          <w:rFonts w:ascii="Garamond" w:hAnsi="Garamond"/>
          <w:bCs/>
          <w:i/>
          <w:iCs/>
          <w:sz w:val="20"/>
          <w:szCs w:val="20"/>
        </w:rPr>
        <w:t>X</w:t>
      </w:r>
      <w:r w:rsidRPr="00950924">
        <w:rPr>
          <w:rFonts w:ascii="Garamond" w:hAnsi="Garamond"/>
          <w:bCs/>
          <w:i/>
          <w:iCs/>
          <w:sz w:val="20"/>
          <w:szCs w:val="20"/>
          <w:vertAlign w:val="superscript"/>
        </w:rPr>
        <w:t>2</w:t>
      </w:r>
      <w:r w:rsidRPr="00950924">
        <w:rPr>
          <w:rFonts w:ascii="Garamond" w:hAnsi="Garamond"/>
          <w:bCs/>
          <w:iCs/>
          <w:sz w:val="20"/>
          <w:szCs w:val="20"/>
        </w:rPr>
        <w:t>(1) = 32.103; p =0.001)</w:t>
      </w:r>
    </w:p>
    <w:p w14:paraId="4EDCAA39" w14:textId="06CAF1C9"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More mothers who attained secondary school education or lower, 64 (56.1%) tended to use TEM on their children more than those with higher education 75 (36.4%) (</w:t>
      </w:r>
      <w:r w:rsidRPr="00950924">
        <w:rPr>
          <w:rFonts w:ascii="Garamond" w:hAnsi="Garamond"/>
          <w:bCs/>
          <w:i/>
          <w:iCs/>
          <w:sz w:val="20"/>
          <w:szCs w:val="20"/>
        </w:rPr>
        <w:t>X</w:t>
      </w:r>
      <w:r w:rsidRPr="00950924">
        <w:rPr>
          <w:rFonts w:ascii="Garamond" w:hAnsi="Garamond"/>
          <w:bCs/>
          <w:i/>
          <w:iCs/>
          <w:sz w:val="20"/>
          <w:szCs w:val="20"/>
          <w:vertAlign w:val="superscript"/>
        </w:rPr>
        <w:t>2</w:t>
      </w:r>
      <w:r w:rsidRPr="00950924">
        <w:rPr>
          <w:rFonts w:ascii="Garamond" w:hAnsi="Garamond"/>
          <w:bCs/>
          <w:iCs/>
          <w:sz w:val="20"/>
          <w:szCs w:val="20"/>
        </w:rPr>
        <w:t xml:space="preserve">(1) =11.630, </w:t>
      </w:r>
      <w:r w:rsidRPr="00950924">
        <w:rPr>
          <w:rFonts w:ascii="Garamond" w:hAnsi="Garamond"/>
          <w:bCs/>
          <w:i/>
          <w:iCs/>
          <w:sz w:val="20"/>
          <w:szCs w:val="20"/>
        </w:rPr>
        <w:t>p</w:t>
      </w:r>
      <w:r w:rsidRPr="00950924">
        <w:rPr>
          <w:rFonts w:ascii="Garamond" w:hAnsi="Garamond"/>
          <w:bCs/>
          <w:iCs/>
          <w:sz w:val="20"/>
          <w:szCs w:val="20"/>
        </w:rPr>
        <w:t>=0.001), (Table 4).</w:t>
      </w:r>
      <w:r w:rsidR="00691BD8">
        <w:rPr>
          <w:rFonts w:ascii="Garamond" w:hAnsi="Garamond"/>
          <w:bCs/>
          <w:iCs/>
          <w:sz w:val="20"/>
          <w:szCs w:val="20"/>
        </w:rPr>
        <w:t xml:space="preserve"> </w:t>
      </w:r>
      <w:r w:rsidRPr="00950924">
        <w:rPr>
          <w:rFonts w:ascii="Garamond" w:hAnsi="Garamond"/>
          <w:bCs/>
          <w:iCs/>
          <w:sz w:val="20"/>
          <w:szCs w:val="20"/>
        </w:rPr>
        <w:t>However, no statistically significant association was found between use of TEM and mother’s age, child’s age or child’s birth order using chi square test. (Table 5)</w:t>
      </w:r>
    </w:p>
    <w:p w14:paraId="48CD82AE" w14:textId="77777777" w:rsidR="00950924" w:rsidRPr="00950924" w:rsidRDefault="00950924" w:rsidP="00950924">
      <w:pPr>
        <w:spacing w:line="259" w:lineRule="auto"/>
        <w:jc w:val="both"/>
        <w:rPr>
          <w:rFonts w:ascii="Garamond" w:hAnsi="Garamond"/>
          <w:bCs/>
          <w:iCs/>
          <w:sz w:val="20"/>
          <w:szCs w:val="20"/>
        </w:rPr>
      </w:pPr>
    </w:p>
    <w:p w14:paraId="0F1B1DB1"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 xml:space="preserve">Table 4: </w:t>
      </w:r>
      <w:r w:rsidRPr="00950924">
        <w:rPr>
          <w:rFonts w:ascii="Garamond" w:hAnsi="Garamond"/>
          <w:iCs/>
          <w:sz w:val="20"/>
          <w:szCs w:val="20"/>
        </w:rPr>
        <w:t>Highest Educational Attainment vs TEM Use</w:t>
      </w:r>
    </w:p>
    <w:tbl>
      <w:tblPr>
        <w:tblStyle w:val="TableGrid"/>
        <w:tblW w:w="4831" w:type="dxa"/>
        <w:tblInd w:w="-5"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9"/>
        <w:gridCol w:w="1388"/>
        <w:gridCol w:w="1201"/>
        <w:gridCol w:w="1103"/>
      </w:tblGrid>
      <w:tr w:rsidR="00950924" w:rsidRPr="00950924" w14:paraId="3A507070" w14:textId="77777777" w:rsidTr="00950924">
        <w:trPr>
          <w:trHeight w:val="135"/>
        </w:trPr>
        <w:tc>
          <w:tcPr>
            <w:tcW w:w="1139" w:type="dxa"/>
            <w:vMerge w:val="restart"/>
            <w:tcBorders>
              <w:top w:val="single" w:sz="4" w:space="0" w:color="auto"/>
              <w:bottom w:val="nil"/>
            </w:tcBorders>
          </w:tcPr>
          <w:p w14:paraId="1E4EB691"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TEM Use</w:t>
            </w:r>
          </w:p>
        </w:tc>
        <w:tc>
          <w:tcPr>
            <w:tcW w:w="2589" w:type="dxa"/>
            <w:gridSpan w:val="2"/>
            <w:tcBorders>
              <w:top w:val="single" w:sz="4" w:space="0" w:color="auto"/>
              <w:bottom w:val="nil"/>
            </w:tcBorders>
          </w:tcPr>
          <w:p w14:paraId="4CBE930B"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 xml:space="preserve">         Highest Educational Attainment</w:t>
            </w:r>
          </w:p>
        </w:tc>
        <w:tc>
          <w:tcPr>
            <w:tcW w:w="1103" w:type="dxa"/>
            <w:tcBorders>
              <w:top w:val="single" w:sz="4" w:space="0" w:color="auto"/>
              <w:bottom w:val="nil"/>
            </w:tcBorders>
          </w:tcPr>
          <w:p w14:paraId="461BF9F1" w14:textId="77777777" w:rsidR="00950924" w:rsidRPr="00950924" w:rsidRDefault="00950924" w:rsidP="00950924">
            <w:pPr>
              <w:spacing w:line="259" w:lineRule="auto"/>
              <w:jc w:val="both"/>
              <w:rPr>
                <w:rFonts w:ascii="Garamond" w:hAnsi="Garamond"/>
                <w:b/>
                <w:bCs/>
                <w:i/>
                <w:iCs/>
                <w:sz w:val="20"/>
                <w:szCs w:val="20"/>
              </w:rPr>
            </w:pPr>
            <w:r w:rsidRPr="00950924">
              <w:rPr>
                <w:rFonts w:ascii="Garamond" w:hAnsi="Garamond"/>
                <w:b/>
                <w:bCs/>
                <w:i/>
                <w:iCs/>
                <w:sz w:val="20"/>
                <w:szCs w:val="20"/>
              </w:rPr>
              <w:t>X (</w:t>
            </w:r>
            <w:proofErr w:type="spellStart"/>
            <w:r w:rsidRPr="00950924">
              <w:rPr>
                <w:rFonts w:ascii="Garamond" w:hAnsi="Garamond"/>
                <w:b/>
                <w:bCs/>
                <w:i/>
                <w:iCs/>
                <w:sz w:val="20"/>
                <w:szCs w:val="20"/>
              </w:rPr>
              <w:t>df</w:t>
            </w:r>
            <w:proofErr w:type="spellEnd"/>
            <w:r w:rsidRPr="00950924">
              <w:rPr>
                <w:rFonts w:ascii="Garamond" w:hAnsi="Garamond"/>
                <w:b/>
                <w:bCs/>
                <w:i/>
                <w:iCs/>
                <w:sz w:val="20"/>
                <w:szCs w:val="20"/>
              </w:rPr>
              <w:t>)</w:t>
            </w:r>
            <w:r w:rsidRPr="00950924">
              <w:rPr>
                <w:rFonts w:ascii="Garamond" w:hAnsi="Garamond"/>
                <w:b/>
                <w:bCs/>
                <w:i/>
                <w:iCs/>
                <w:sz w:val="20"/>
                <w:szCs w:val="20"/>
                <w:vertAlign w:val="superscript"/>
              </w:rPr>
              <w:t xml:space="preserve">2 </w:t>
            </w:r>
            <w:r w:rsidRPr="00950924">
              <w:rPr>
                <w:rFonts w:ascii="Garamond" w:hAnsi="Garamond"/>
                <w:b/>
                <w:bCs/>
                <w:i/>
                <w:iCs/>
                <w:sz w:val="20"/>
                <w:szCs w:val="20"/>
              </w:rPr>
              <w:t>(p-value)</w:t>
            </w:r>
          </w:p>
        </w:tc>
      </w:tr>
      <w:tr w:rsidR="00950924" w:rsidRPr="00950924" w14:paraId="18EABAD4" w14:textId="77777777" w:rsidTr="00950924">
        <w:trPr>
          <w:trHeight w:val="135"/>
        </w:trPr>
        <w:tc>
          <w:tcPr>
            <w:tcW w:w="1139" w:type="dxa"/>
            <w:vMerge/>
            <w:tcBorders>
              <w:top w:val="nil"/>
              <w:bottom w:val="single" w:sz="4" w:space="0" w:color="auto"/>
            </w:tcBorders>
          </w:tcPr>
          <w:p w14:paraId="3AF64304" w14:textId="77777777" w:rsidR="00950924" w:rsidRPr="00950924" w:rsidRDefault="00950924" w:rsidP="00950924">
            <w:pPr>
              <w:spacing w:line="259" w:lineRule="auto"/>
              <w:jc w:val="both"/>
              <w:rPr>
                <w:rFonts w:ascii="Garamond" w:hAnsi="Garamond"/>
                <w:b/>
                <w:bCs/>
                <w:iCs/>
                <w:sz w:val="20"/>
                <w:szCs w:val="20"/>
              </w:rPr>
            </w:pPr>
          </w:p>
        </w:tc>
        <w:tc>
          <w:tcPr>
            <w:tcW w:w="1388" w:type="dxa"/>
            <w:tcBorders>
              <w:top w:val="nil"/>
              <w:bottom w:val="single" w:sz="4" w:space="0" w:color="auto"/>
            </w:tcBorders>
          </w:tcPr>
          <w:p w14:paraId="1475D17D"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 xml:space="preserve">Secondary </w:t>
            </w:r>
          </w:p>
          <w:p w14:paraId="06F26482"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and below</w:t>
            </w:r>
          </w:p>
          <w:p w14:paraId="1C067644"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no (%)</w:t>
            </w:r>
          </w:p>
        </w:tc>
        <w:tc>
          <w:tcPr>
            <w:tcW w:w="1201" w:type="dxa"/>
            <w:tcBorders>
              <w:top w:val="nil"/>
              <w:bottom w:val="single" w:sz="4" w:space="0" w:color="auto"/>
            </w:tcBorders>
          </w:tcPr>
          <w:p w14:paraId="3EF3DA88"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 xml:space="preserve">      Above secondary</w:t>
            </w:r>
          </w:p>
          <w:p w14:paraId="2C13665A" w14:textId="77777777" w:rsidR="00950924" w:rsidRPr="00950924" w:rsidRDefault="00950924" w:rsidP="00950924">
            <w:pPr>
              <w:spacing w:line="259" w:lineRule="auto"/>
              <w:jc w:val="both"/>
              <w:rPr>
                <w:rFonts w:ascii="Garamond" w:hAnsi="Garamond"/>
                <w:b/>
                <w:bCs/>
                <w:iCs/>
                <w:sz w:val="20"/>
                <w:szCs w:val="20"/>
              </w:rPr>
            </w:pPr>
          </w:p>
          <w:p w14:paraId="7F4A6774"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no (%)</w:t>
            </w:r>
          </w:p>
        </w:tc>
        <w:tc>
          <w:tcPr>
            <w:tcW w:w="1103" w:type="dxa"/>
            <w:tcBorders>
              <w:top w:val="nil"/>
              <w:bottom w:val="single" w:sz="4" w:space="0" w:color="auto"/>
            </w:tcBorders>
          </w:tcPr>
          <w:p w14:paraId="646FC865" w14:textId="77777777" w:rsidR="00950924" w:rsidRPr="00950924" w:rsidRDefault="00950924" w:rsidP="00950924">
            <w:pPr>
              <w:spacing w:line="259" w:lineRule="auto"/>
              <w:jc w:val="both"/>
              <w:rPr>
                <w:rFonts w:ascii="Garamond" w:hAnsi="Garamond"/>
                <w:b/>
                <w:bCs/>
                <w:iCs/>
                <w:sz w:val="20"/>
                <w:szCs w:val="20"/>
              </w:rPr>
            </w:pPr>
          </w:p>
          <w:p w14:paraId="2F67C341" w14:textId="77777777" w:rsidR="00950924" w:rsidRPr="00950924" w:rsidRDefault="00950924" w:rsidP="00950924">
            <w:pPr>
              <w:spacing w:line="259" w:lineRule="auto"/>
              <w:jc w:val="both"/>
              <w:rPr>
                <w:rFonts w:ascii="Garamond" w:hAnsi="Garamond"/>
                <w:b/>
                <w:bCs/>
                <w:iCs/>
                <w:sz w:val="20"/>
                <w:szCs w:val="20"/>
              </w:rPr>
            </w:pPr>
          </w:p>
          <w:p w14:paraId="3ABA520E" w14:textId="77777777" w:rsidR="00950924" w:rsidRPr="00950924" w:rsidRDefault="00950924" w:rsidP="00950924">
            <w:pPr>
              <w:spacing w:line="259" w:lineRule="auto"/>
              <w:jc w:val="both"/>
              <w:rPr>
                <w:rFonts w:ascii="Garamond" w:hAnsi="Garamond"/>
                <w:b/>
                <w:bCs/>
                <w:iCs/>
                <w:sz w:val="20"/>
                <w:szCs w:val="20"/>
              </w:rPr>
            </w:pPr>
          </w:p>
        </w:tc>
      </w:tr>
      <w:tr w:rsidR="00950924" w:rsidRPr="00950924" w14:paraId="7E5CBF7E" w14:textId="77777777" w:rsidTr="00950924">
        <w:tc>
          <w:tcPr>
            <w:tcW w:w="1139" w:type="dxa"/>
            <w:tcBorders>
              <w:top w:val="single" w:sz="4" w:space="0" w:color="auto"/>
            </w:tcBorders>
          </w:tcPr>
          <w:p w14:paraId="000E2565"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Yes</w:t>
            </w:r>
          </w:p>
        </w:tc>
        <w:tc>
          <w:tcPr>
            <w:tcW w:w="1388" w:type="dxa"/>
            <w:tcBorders>
              <w:top w:val="single" w:sz="4" w:space="0" w:color="auto"/>
            </w:tcBorders>
          </w:tcPr>
          <w:p w14:paraId="39BD4705"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64 (56.1)</w:t>
            </w:r>
          </w:p>
        </w:tc>
        <w:tc>
          <w:tcPr>
            <w:tcW w:w="1201" w:type="dxa"/>
            <w:tcBorders>
              <w:top w:val="single" w:sz="4" w:space="0" w:color="auto"/>
            </w:tcBorders>
          </w:tcPr>
          <w:p w14:paraId="2D5A4E8E"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75 (36.4)</w:t>
            </w:r>
          </w:p>
        </w:tc>
        <w:tc>
          <w:tcPr>
            <w:tcW w:w="1103" w:type="dxa"/>
            <w:vMerge w:val="restart"/>
            <w:tcBorders>
              <w:top w:val="single" w:sz="4" w:space="0" w:color="auto"/>
            </w:tcBorders>
          </w:tcPr>
          <w:p w14:paraId="7C84667D"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11.630(1) (0.001)</w:t>
            </w:r>
          </w:p>
        </w:tc>
      </w:tr>
      <w:tr w:rsidR="00950924" w:rsidRPr="00950924" w14:paraId="3866EF30" w14:textId="77777777" w:rsidTr="00950924">
        <w:tc>
          <w:tcPr>
            <w:tcW w:w="1139" w:type="dxa"/>
          </w:tcPr>
          <w:p w14:paraId="472B4F2A"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No</w:t>
            </w:r>
          </w:p>
        </w:tc>
        <w:tc>
          <w:tcPr>
            <w:tcW w:w="1388" w:type="dxa"/>
          </w:tcPr>
          <w:p w14:paraId="6388EAFA"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50 (43.9)</w:t>
            </w:r>
          </w:p>
        </w:tc>
        <w:tc>
          <w:tcPr>
            <w:tcW w:w="1201" w:type="dxa"/>
          </w:tcPr>
          <w:p w14:paraId="16AB682B"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131 (63.6)</w:t>
            </w:r>
          </w:p>
        </w:tc>
        <w:tc>
          <w:tcPr>
            <w:tcW w:w="1103" w:type="dxa"/>
            <w:vMerge/>
          </w:tcPr>
          <w:p w14:paraId="48C7E9F3" w14:textId="77777777" w:rsidR="00950924" w:rsidRPr="00950924" w:rsidRDefault="00950924" w:rsidP="00950924">
            <w:pPr>
              <w:spacing w:line="259" w:lineRule="auto"/>
              <w:jc w:val="both"/>
              <w:rPr>
                <w:rFonts w:ascii="Garamond" w:hAnsi="Garamond"/>
                <w:bCs/>
                <w:iCs/>
                <w:sz w:val="20"/>
                <w:szCs w:val="20"/>
              </w:rPr>
            </w:pPr>
          </w:p>
        </w:tc>
      </w:tr>
      <w:tr w:rsidR="00950924" w:rsidRPr="00950924" w14:paraId="20930797" w14:textId="77777777" w:rsidTr="00950924">
        <w:tc>
          <w:tcPr>
            <w:tcW w:w="1139" w:type="dxa"/>
          </w:tcPr>
          <w:p w14:paraId="5FF2CB18"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Total </w:t>
            </w:r>
          </w:p>
        </w:tc>
        <w:tc>
          <w:tcPr>
            <w:tcW w:w="1388" w:type="dxa"/>
          </w:tcPr>
          <w:p w14:paraId="00663C94"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114 (100.0)</w:t>
            </w:r>
          </w:p>
        </w:tc>
        <w:tc>
          <w:tcPr>
            <w:tcW w:w="1201" w:type="dxa"/>
          </w:tcPr>
          <w:p w14:paraId="6D2E999C"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206 (100.0)</w:t>
            </w:r>
          </w:p>
        </w:tc>
        <w:tc>
          <w:tcPr>
            <w:tcW w:w="1103" w:type="dxa"/>
            <w:vMerge/>
          </w:tcPr>
          <w:p w14:paraId="2FC7D715" w14:textId="77777777" w:rsidR="00950924" w:rsidRPr="00950924" w:rsidRDefault="00950924" w:rsidP="00950924">
            <w:pPr>
              <w:spacing w:line="259" w:lineRule="auto"/>
              <w:jc w:val="both"/>
              <w:rPr>
                <w:rFonts w:ascii="Garamond" w:hAnsi="Garamond"/>
                <w:bCs/>
                <w:iCs/>
                <w:sz w:val="20"/>
                <w:szCs w:val="20"/>
              </w:rPr>
            </w:pPr>
          </w:p>
        </w:tc>
      </w:tr>
    </w:tbl>
    <w:p w14:paraId="3C8B796A" w14:textId="77777777" w:rsidR="004C6160" w:rsidRPr="00950924" w:rsidRDefault="004C6160" w:rsidP="00950924">
      <w:pPr>
        <w:spacing w:line="259" w:lineRule="auto"/>
        <w:jc w:val="both"/>
        <w:rPr>
          <w:rFonts w:ascii="Garamond" w:hAnsi="Garamond"/>
          <w:b/>
          <w:bCs/>
          <w:iCs/>
          <w:sz w:val="20"/>
          <w:szCs w:val="20"/>
        </w:rPr>
      </w:pPr>
    </w:p>
    <w:p w14:paraId="3D5C630F"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 xml:space="preserve">Table 5: </w:t>
      </w:r>
      <w:r w:rsidRPr="00950924">
        <w:rPr>
          <w:rFonts w:ascii="Garamond" w:hAnsi="Garamond"/>
          <w:iCs/>
          <w:sz w:val="20"/>
          <w:szCs w:val="20"/>
        </w:rPr>
        <w:t>Association between Participant Characteristics and TEM Use</w:t>
      </w:r>
    </w:p>
    <w:tbl>
      <w:tblPr>
        <w:tblStyle w:val="TableGrid"/>
        <w:tblW w:w="4967" w:type="dxa"/>
        <w:tblInd w:w="-5" w:type="dxa"/>
        <w:tblBorders>
          <w:left w:val="none" w:sz="0" w:space="0" w:color="auto"/>
          <w:insideH w:val="none" w:sz="0" w:space="0" w:color="auto"/>
          <w:insideV w:val="none" w:sz="0" w:space="0" w:color="auto"/>
        </w:tblBorders>
        <w:tblLook w:val="04A0" w:firstRow="1" w:lastRow="0" w:firstColumn="1" w:lastColumn="0" w:noHBand="0" w:noVBand="1"/>
      </w:tblPr>
      <w:tblGrid>
        <w:gridCol w:w="1706"/>
        <w:gridCol w:w="1134"/>
        <w:gridCol w:w="1134"/>
        <w:gridCol w:w="993"/>
      </w:tblGrid>
      <w:tr w:rsidR="00950924" w:rsidRPr="00950924" w14:paraId="1C0EB4A5" w14:textId="77777777" w:rsidTr="004C6160">
        <w:trPr>
          <w:trHeight w:val="135"/>
        </w:trPr>
        <w:tc>
          <w:tcPr>
            <w:tcW w:w="1706" w:type="dxa"/>
            <w:tcBorders>
              <w:top w:val="single" w:sz="4" w:space="0" w:color="auto"/>
              <w:bottom w:val="nil"/>
            </w:tcBorders>
          </w:tcPr>
          <w:p w14:paraId="1C5118FC"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 xml:space="preserve"> Characteristic</w:t>
            </w:r>
          </w:p>
        </w:tc>
        <w:tc>
          <w:tcPr>
            <w:tcW w:w="2268" w:type="dxa"/>
            <w:gridSpan w:val="2"/>
            <w:tcBorders>
              <w:top w:val="single" w:sz="4" w:space="0" w:color="auto"/>
              <w:bottom w:val="nil"/>
            </w:tcBorders>
          </w:tcPr>
          <w:p w14:paraId="6E38298D"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 xml:space="preserve">            TEM Use</w:t>
            </w:r>
          </w:p>
        </w:tc>
        <w:tc>
          <w:tcPr>
            <w:tcW w:w="993" w:type="dxa"/>
            <w:tcBorders>
              <w:top w:val="single" w:sz="4" w:space="0" w:color="auto"/>
              <w:bottom w:val="nil"/>
              <w:right w:val="nil"/>
            </w:tcBorders>
          </w:tcPr>
          <w:p w14:paraId="7B9EF44A" w14:textId="77777777" w:rsidR="00950924" w:rsidRPr="00950924" w:rsidRDefault="00950924" w:rsidP="00950924">
            <w:pPr>
              <w:spacing w:line="259" w:lineRule="auto"/>
              <w:jc w:val="both"/>
              <w:rPr>
                <w:rFonts w:ascii="Garamond" w:hAnsi="Garamond"/>
                <w:b/>
                <w:bCs/>
                <w:i/>
                <w:iCs/>
                <w:sz w:val="20"/>
                <w:szCs w:val="20"/>
              </w:rPr>
            </w:pPr>
            <w:r w:rsidRPr="00950924">
              <w:rPr>
                <w:rFonts w:ascii="Garamond" w:hAnsi="Garamond"/>
                <w:b/>
                <w:bCs/>
                <w:i/>
                <w:iCs/>
                <w:sz w:val="20"/>
                <w:szCs w:val="20"/>
              </w:rPr>
              <w:t>X</w:t>
            </w:r>
            <w:r w:rsidRPr="00950924">
              <w:rPr>
                <w:rFonts w:ascii="Garamond" w:hAnsi="Garamond"/>
                <w:b/>
                <w:bCs/>
                <w:i/>
                <w:iCs/>
                <w:sz w:val="20"/>
                <w:szCs w:val="20"/>
                <w:vertAlign w:val="superscript"/>
              </w:rPr>
              <w:t>2</w:t>
            </w:r>
            <w:r w:rsidRPr="00950924">
              <w:rPr>
                <w:rFonts w:ascii="Garamond" w:hAnsi="Garamond"/>
                <w:bCs/>
                <w:iCs/>
                <w:sz w:val="20"/>
                <w:szCs w:val="20"/>
              </w:rPr>
              <w:t>(</w:t>
            </w:r>
            <w:proofErr w:type="spellStart"/>
            <w:r w:rsidRPr="00950924">
              <w:rPr>
                <w:rFonts w:ascii="Garamond" w:hAnsi="Garamond"/>
                <w:bCs/>
                <w:iCs/>
                <w:sz w:val="20"/>
                <w:szCs w:val="20"/>
              </w:rPr>
              <w:t>df</w:t>
            </w:r>
            <w:proofErr w:type="spellEnd"/>
            <w:r w:rsidRPr="00950924">
              <w:rPr>
                <w:rFonts w:ascii="Garamond" w:hAnsi="Garamond"/>
                <w:bCs/>
                <w:iCs/>
                <w:sz w:val="20"/>
                <w:szCs w:val="20"/>
              </w:rPr>
              <w:t xml:space="preserve">) </w:t>
            </w:r>
            <w:r w:rsidRPr="00950924">
              <w:rPr>
                <w:rFonts w:ascii="Garamond" w:hAnsi="Garamond"/>
                <w:b/>
                <w:bCs/>
                <w:i/>
                <w:iCs/>
                <w:sz w:val="20"/>
                <w:szCs w:val="20"/>
              </w:rPr>
              <w:t>(p-value)</w:t>
            </w:r>
          </w:p>
        </w:tc>
      </w:tr>
      <w:tr w:rsidR="004C6160" w:rsidRPr="00950924" w14:paraId="643ECCC2" w14:textId="77777777" w:rsidTr="004C6160">
        <w:trPr>
          <w:trHeight w:val="70"/>
        </w:trPr>
        <w:tc>
          <w:tcPr>
            <w:tcW w:w="1706" w:type="dxa"/>
            <w:tcBorders>
              <w:top w:val="nil"/>
              <w:bottom w:val="single" w:sz="4" w:space="0" w:color="auto"/>
            </w:tcBorders>
          </w:tcPr>
          <w:p w14:paraId="7B34D7DC" w14:textId="77777777" w:rsidR="00950924" w:rsidRPr="00950924" w:rsidRDefault="00950924" w:rsidP="00950924">
            <w:pPr>
              <w:spacing w:line="259" w:lineRule="auto"/>
              <w:jc w:val="both"/>
              <w:rPr>
                <w:rFonts w:ascii="Garamond" w:hAnsi="Garamond"/>
                <w:b/>
                <w:bCs/>
                <w:iCs/>
                <w:sz w:val="20"/>
                <w:szCs w:val="20"/>
              </w:rPr>
            </w:pPr>
          </w:p>
        </w:tc>
        <w:tc>
          <w:tcPr>
            <w:tcW w:w="1134" w:type="dxa"/>
            <w:tcBorders>
              <w:top w:val="nil"/>
              <w:bottom w:val="single" w:sz="4" w:space="0" w:color="auto"/>
            </w:tcBorders>
          </w:tcPr>
          <w:p w14:paraId="3549FC6C"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 xml:space="preserve">Yes </w:t>
            </w:r>
          </w:p>
          <w:p w14:paraId="72658B7B"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no (%)</w:t>
            </w:r>
          </w:p>
        </w:tc>
        <w:tc>
          <w:tcPr>
            <w:tcW w:w="1134" w:type="dxa"/>
            <w:tcBorders>
              <w:top w:val="nil"/>
              <w:bottom w:val="single" w:sz="4" w:space="0" w:color="auto"/>
            </w:tcBorders>
          </w:tcPr>
          <w:p w14:paraId="3CA4DC21"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No</w:t>
            </w:r>
          </w:p>
          <w:p w14:paraId="1B9DADF0"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no (%)</w:t>
            </w:r>
          </w:p>
        </w:tc>
        <w:tc>
          <w:tcPr>
            <w:tcW w:w="993" w:type="dxa"/>
            <w:tcBorders>
              <w:top w:val="nil"/>
              <w:bottom w:val="single" w:sz="4" w:space="0" w:color="auto"/>
              <w:right w:val="nil"/>
            </w:tcBorders>
          </w:tcPr>
          <w:p w14:paraId="0B26A2C3" w14:textId="77777777" w:rsidR="00950924" w:rsidRPr="00950924" w:rsidRDefault="00950924" w:rsidP="00950924">
            <w:pPr>
              <w:spacing w:line="259" w:lineRule="auto"/>
              <w:jc w:val="both"/>
              <w:rPr>
                <w:rFonts w:ascii="Garamond" w:hAnsi="Garamond"/>
                <w:b/>
                <w:bCs/>
                <w:iCs/>
                <w:sz w:val="20"/>
                <w:szCs w:val="20"/>
              </w:rPr>
            </w:pPr>
          </w:p>
        </w:tc>
      </w:tr>
      <w:tr w:rsidR="004C6160" w:rsidRPr="00950924" w14:paraId="4B096A5E" w14:textId="77777777" w:rsidTr="004C6160">
        <w:tc>
          <w:tcPr>
            <w:tcW w:w="1706" w:type="dxa"/>
            <w:tcBorders>
              <w:top w:val="single" w:sz="4" w:space="0" w:color="auto"/>
            </w:tcBorders>
          </w:tcPr>
          <w:p w14:paraId="584217F9"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Mothers’ Age</w:t>
            </w:r>
          </w:p>
        </w:tc>
        <w:tc>
          <w:tcPr>
            <w:tcW w:w="1134" w:type="dxa"/>
            <w:tcBorders>
              <w:top w:val="single" w:sz="4" w:space="0" w:color="auto"/>
            </w:tcBorders>
          </w:tcPr>
          <w:p w14:paraId="7A9EA211" w14:textId="77777777" w:rsidR="00950924" w:rsidRPr="00950924" w:rsidRDefault="00950924" w:rsidP="00950924">
            <w:pPr>
              <w:spacing w:line="259" w:lineRule="auto"/>
              <w:jc w:val="both"/>
              <w:rPr>
                <w:rFonts w:ascii="Garamond" w:hAnsi="Garamond"/>
                <w:bCs/>
                <w:iCs/>
                <w:sz w:val="20"/>
                <w:szCs w:val="20"/>
              </w:rPr>
            </w:pPr>
          </w:p>
        </w:tc>
        <w:tc>
          <w:tcPr>
            <w:tcW w:w="1134" w:type="dxa"/>
            <w:tcBorders>
              <w:top w:val="single" w:sz="4" w:space="0" w:color="auto"/>
            </w:tcBorders>
          </w:tcPr>
          <w:p w14:paraId="32BC549F" w14:textId="77777777" w:rsidR="00950924" w:rsidRPr="00950924" w:rsidRDefault="00950924" w:rsidP="00950924">
            <w:pPr>
              <w:spacing w:line="259" w:lineRule="auto"/>
              <w:jc w:val="both"/>
              <w:rPr>
                <w:rFonts w:ascii="Garamond" w:hAnsi="Garamond"/>
                <w:bCs/>
                <w:iCs/>
                <w:sz w:val="20"/>
                <w:szCs w:val="20"/>
              </w:rPr>
            </w:pPr>
          </w:p>
        </w:tc>
        <w:tc>
          <w:tcPr>
            <w:tcW w:w="993" w:type="dxa"/>
            <w:vMerge w:val="restart"/>
            <w:tcBorders>
              <w:top w:val="single" w:sz="4" w:space="0" w:color="auto"/>
              <w:right w:val="nil"/>
            </w:tcBorders>
          </w:tcPr>
          <w:p w14:paraId="7E0727B5" w14:textId="77777777" w:rsidR="00950924" w:rsidRPr="00950924" w:rsidRDefault="00950924" w:rsidP="00950924">
            <w:pPr>
              <w:spacing w:line="259" w:lineRule="auto"/>
              <w:jc w:val="both"/>
              <w:rPr>
                <w:rFonts w:ascii="Garamond" w:hAnsi="Garamond"/>
                <w:bCs/>
                <w:iCs/>
                <w:sz w:val="20"/>
                <w:szCs w:val="20"/>
              </w:rPr>
            </w:pPr>
          </w:p>
          <w:p w14:paraId="738B43AF" w14:textId="77777777" w:rsidR="00950924" w:rsidRPr="00950924" w:rsidRDefault="00950924" w:rsidP="00950924">
            <w:pPr>
              <w:spacing w:line="259" w:lineRule="auto"/>
              <w:jc w:val="both"/>
              <w:rPr>
                <w:rFonts w:ascii="Garamond" w:hAnsi="Garamond"/>
                <w:bCs/>
                <w:iCs/>
                <w:sz w:val="20"/>
                <w:szCs w:val="20"/>
              </w:rPr>
            </w:pPr>
          </w:p>
          <w:p w14:paraId="40B0975F"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0.033(1) </w:t>
            </w:r>
          </w:p>
          <w:p w14:paraId="51ABE8A9"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(0.856)</w:t>
            </w:r>
          </w:p>
        </w:tc>
      </w:tr>
      <w:tr w:rsidR="004C6160" w:rsidRPr="00950924" w14:paraId="3011A81E" w14:textId="77777777" w:rsidTr="004C6160">
        <w:tc>
          <w:tcPr>
            <w:tcW w:w="1706" w:type="dxa"/>
          </w:tcPr>
          <w:p w14:paraId="43428339"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&lt; 30</w:t>
            </w:r>
          </w:p>
        </w:tc>
        <w:tc>
          <w:tcPr>
            <w:tcW w:w="1134" w:type="dxa"/>
          </w:tcPr>
          <w:p w14:paraId="69B0EAD6"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70 (50.4)</w:t>
            </w:r>
          </w:p>
        </w:tc>
        <w:tc>
          <w:tcPr>
            <w:tcW w:w="1134" w:type="dxa"/>
          </w:tcPr>
          <w:p w14:paraId="432DF85F"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93 (51.4)</w:t>
            </w:r>
          </w:p>
        </w:tc>
        <w:tc>
          <w:tcPr>
            <w:tcW w:w="993" w:type="dxa"/>
            <w:vMerge/>
            <w:tcBorders>
              <w:right w:val="nil"/>
            </w:tcBorders>
          </w:tcPr>
          <w:p w14:paraId="559E2C2D" w14:textId="77777777" w:rsidR="00950924" w:rsidRPr="00950924" w:rsidRDefault="00950924" w:rsidP="00950924">
            <w:pPr>
              <w:spacing w:line="259" w:lineRule="auto"/>
              <w:jc w:val="both"/>
              <w:rPr>
                <w:rFonts w:ascii="Garamond" w:hAnsi="Garamond"/>
                <w:bCs/>
                <w:iCs/>
                <w:sz w:val="20"/>
                <w:szCs w:val="20"/>
              </w:rPr>
            </w:pPr>
          </w:p>
        </w:tc>
      </w:tr>
      <w:tr w:rsidR="004C6160" w:rsidRPr="00950924" w14:paraId="6956EA8E" w14:textId="77777777" w:rsidTr="004C6160">
        <w:tc>
          <w:tcPr>
            <w:tcW w:w="1706" w:type="dxa"/>
          </w:tcPr>
          <w:p w14:paraId="306B64B6"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30</w:t>
            </w:r>
          </w:p>
        </w:tc>
        <w:tc>
          <w:tcPr>
            <w:tcW w:w="1134" w:type="dxa"/>
          </w:tcPr>
          <w:p w14:paraId="23035D7B"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69 (49.6)</w:t>
            </w:r>
          </w:p>
        </w:tc>
        <w:tc>
          <w:tcPr>
            <w:tcW w:w="1134" w:type="dxa"/>
          </w:tcPr>
          <w:p w14:paraId="5325F679"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88 (48.6)</w:t>
            </w:r>
          </w:p>
        </w:tc>
        <w:tc>
          <w:tcPr>
            <w:tcW w:w="993" w:type="dxa"/>
            <w:vMerge/>
            <w:tcBorders>
              <w:right w:val="nil"/>
            </w:tcBorders>
          </w:tcPr>
          <w:p w14:paraId="726D6209" w14:textId="77777777" w:rsidR="00950924" w:rsidRPr="00950924" w:rsidRDefault="00950924" w:rsidP="00950924">
            <w:pPr>
              <w:spacing w:line="259" w:lineRule="auto"/>
              <w:jc w:val="both"/>
              <w:rPr>
                <w:rFonts w:ascii="Garamond" w:hAnsi="Garamond"/>
                <w:bCs/>
                <w:iCs/>
                <w:sz w:val="20"/>
                <w:szCs w:val="20"/>
              </w:rPr>
            </w:pPr>
          </w:p>
        </w:tc>
      </w:tr>
      <w:tr w:rsidR="004C6160" w:rsidRPr="00950924" w14:paraId="4B5FFE07" w14:textId="77777777" w:rsidTr="004C6160">
        <w:tc>
          <w:tcPr>
            <w:tcW w:w="1706" w:type="dxa"/>
          </w:tcPr>
          <w:p w14:paraId="46712A05"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Total </w:t>
            </w:r>
          </w:p>
        </w:tc>
        <w:tc>
          <w:tcPr>
            <w:tcW w:w="1134" w:type="dxa"/>
          </w:tcPr>
          <w:p w14:paraId="7E65D2E3"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139 (100.0)</w:t>
            </w:r>
          </w:p>
        </w:tc>
        <w:tc>
          <w:tcPr>
            <w:tcW w:w="1134" w:type="dxa"/>
          </w:tcPr>
          <w:p w14:paraId="23583CD6"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181 (100.0)</w:t>
            </w:r>
          </w:p>
        </w:tc>
        <w:tc>
          <w:tcPr>
            <w:tcW w:w="993" w:type="dxa"/>
            <w:vMerge/>
            <w:tcBorders>
              <w:right w:val="nil"/>
            </w:tcBorders>
          </w:tcPr>
          <w:p w14:paraId="0B22A6A7" w14:textId="77777777" w:rsidR="00950924" w:rsidRPr="00950924" w:rsidRDefault="00950924" w:rsidP="00950924">
            <w:pPr>
              <w:spacing w:line="259" w:lineRule="auto"/>
              <w:jc w:val="both"/>
              <w:rPr>
                <w:rFonts w:ascii="Garamond" w:hAnsi="Garamond"/>
                <w:bCs/>
                <w:iCs/>
                <w:sz w:val="20"/>
                <w:szCs w:val="20"/>
              </w:rPr>
            </w:pPr>
          </w:p>
        </w:tc>
      </w:tr>
      <w:tr w:rsidR="004C6160" w:rsidRPr="00950924" w14:paraId="5334ACBA" w14:textId="77777777" w:rsidTr="004C6160">
        <w:tc>
          <w:tcPr>
            <w:tcW w:w="1706" w:type="dxa"/>
          </w:tcPr>
          <w:p w14:paraId="3CA13693"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Child’s Age</w:t>
            </w:r>
          </w:p>
        </w:tc>
        <w:tc>
          <w:tcPr>
            <w:tcW w:w="1134" w:type="dxa"/>
          </w:tcPr>
          <w:p w14:paraId="0FB76BB0" w14:textId="77777777" w:rsidR="00950924" w:rsidRPr="00950924" w:rsidRDefault="00950924" w:rsidP="00950924">
            <w:pPr>
              <w:spacing w:line="259" w:lineRule="auto"/>
              <w:jc w:val="both"/>
              <w:rPr>
                <w:rFonts w:ascii="Garamond" w:hAnsi="Garamond"/>
                <w:bCs/>
                <w:iCs/>
                <w:sz w:val="20"/>
                <w:szCs w:val="20"/>
              </w:rPr>
            </w:pPr>
          </w:p>
        </w:tc>
        <w:tc>
          <w:tcPr>
            <w:tcW w:w="1134" w:type="dxa"/>
          </w:tcPr>
          <w:p w14:paraId="0AAB00F4" w14:textId="77777777" w:rsidR="00950924" w:rsidRPr="00950924" w:rsidRDefault="00950924" w:rsidP="00950924">
            <w:pPr>
              <w:spacing w:line="259" w:lineRule="auto"/>
              <w:jc w:val="both"/>
              <w:rPr>
                <w:rFonts w:ascii="Garamond" w:hAnsi="Garamond"/>
                <w:bCs/>
                <w:iCs/>
                <w:sz w:val="20"/>
                <w:szCs w:val="20"/>
              </w:rPr>
            </w:pPr>
          </w:p>
        </w:tc>
        <w:tc>
          <w:tcPr>
            <w:tcW w:w="993" w:type="dxa"/>
            <w:vMerge w:val="restart"/>
            <w:tcBorders>
              <w:right w:val="nil"/>
            </w:tcBorders>
          </w:tcPr>
          <w:p w14:paraId="5D504517" w14:textId="77777777" w:rsidR="00950924" w:rsidRPr="00950924" w:rsidRDefault="00950924" w:rsidP="00950924">
            <w:pPr>
              <w:spacing w:line="259" w:lineRule="auto"/>
              <w:jc w:val="both"/>
              <w:rPr>
                <w:rFonts w:ascii="Garamond" w:hAnsi="Garamond"/>
                <w:bCs/>
                <w:iCs/>
                <w:sz w:val="20"/>
                <w:szCs w:val="20"/>
              </w:rPr>
            </w:pPr>
          </w:p>
          <w:p w14:paraId="6B7762E3" w14:textId="77777777" w:rsidR="00950924" w:rsidRPr="00950924" w:rsidRDefault="00950924" w:rsidP="00950924">
            <w:pPr>
              <w:spacing w:line="259" w:lineRule="auto"/>
              <w:jc w:val="both"/>
              <w:rPr>
                <w:rFonts w:ascii="Garamond" w:hAnsi="Garamond"/>
                <w:bCs/>
                <w:iCs/>
                <w:sz w:val="20"/>
                <w:szCs w:val="20"/>
              </w:rPr>
            </w:pPr>
          </w:p>
          <w:p w14:paraId="5E198F01"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1.738(1)</w:t>
            </w:r>
          </w:p>
          <w:p w14:paraId="159012FA"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(0.187)</w:t>
            </w:r>
          </w:p>
        </w:tc>
      </w:tr>
      <w:tr w:rsidR="004C6160" w:rsidRPr="00950924" w14:paraId="60DE49D0" w14:textId="77777777" w:rsidTr="004C6160">
        <w:tc>
          <w:tcPr>
            <w:tcW w:w="1706" w:type="dxa"/>
          </w:tcPr>
          <w:p w14:paraId="26D34658"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&lt;6 months</w:t>
            </w:r>
          </w:p>
        </w:tc>
        <w:tc>
          <w:tcPr>
            <w:tcW w:w="1134" w:type="dxa"/>
          </w:tcPr>
          <w:p w14:paraId="123E7198"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79 (56.8)</w:t>
            </w:r>
          </w:p>
        </w:tc>
        <w:tc>
          <w:tcPr>
            <w:tcW w:w="1134" w:type="dxa"/>
          </w:tcPr>
          <w:p w14:paraId="00987C9C"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116 (64.1)</w:t>
            </w:r>
          </w:p>
        </w:tc>
        <w:tc>
          <w:tcPr>
            <w:tcW w:w="993" w:type="dxa"/>
            <w:vMerge/>
            <w:tcBorders>
              <w:right w:val="nil"/>
            </w:tcBorders>
          </w:tcPr>
          <w:p w14:paraId="74F11C79" w14:textId="77777777" w:rsidR="00950924" w:rsidRPr="00950924" w:rsidRDefault="00950924" w:rsidP="00950924">
            <w:pPr>
              <w:spacing w:line="259" w:lineRule="auto"/>
              <w:jc w:val="both"/>
              <w:rPr>
                <w:rFonts w:ascii="Garamond" w:hAnsi="Garamond"/>
                <w:bCs/>
                <w:iCs/>
                <w:sz w:val="20"/>
                <w:szCs w:val="20"/>
              </w:rPr>
            </w:pPr>
          </w:p>
        </w:tc>
      </w:tr>
      <w:tr w:rsidR="004C6160" w:rsidRPr="00950924" w14:paraId="71A5AA94" w14:textId="77777777" w:rsidTr="004C6160">
        <w:tc>
          <w:tcPr>
            <w:tcW w:w="1706" w:type="dxa"/>
          </w:tcPr>
          <w:p w14:paraId="4AC29FAE"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6months</w:t>
            </w:r>
          </w:p>
        </w:tc>
        <w:tc>
          <w:tcPr>
            <w:tcW w:w="1134" w:type="dxa"/>
          </w:tcPr>
          <w:p w14:paraId="2774BE5D"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69 (43.2)</w:t>
            </w:r>
          </w:p>
        </w:tc>
        <w:tc>
          <w:tcPr>
            <w:tcW w:w="1134" w:type="dxa"/>
          </w:tcPr>
          <w:p w14:paraId="44B7BBB1" w14:textId="06E77173"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w:t>
            </w:r>
            <w:r w:rsidR="00691BD8" w:rsidRPr="00950924">
              <w:rPr>
                <w:rFonts w:ascii="Garamond" w:hAnsi="Garamond"/>
                <w:bCs/>
                <w:iCs/>
                <w:sz w:val="20"/>
                <w:szCs w:val="20"/>
              </w:rPr>
              <w:t>65 (</w:t>
            </w:r>
            <w:r w:rsidRPr="00950924">
              <w:rPr>
                <w:rFonts w:ascii="Garamond" w:hAnsi="Garamond"/>
                <w:bCs/>
                <w:iCs/>
                <w:sz w:val="20"/>
                <w:szCs w:val="20"/>
              </w:rPr>
              <w:t>35.9)</w:t>
            </w:r>
          </w:p>
        </w:tc>
        <w:tc>
          <w:tcPr>
            <w:tcW w:w="993" w:type="dxa"/>
            <w:vMerge/>
            <w:tcBorders>
              <w:right w:val="nil"/>
            </w:tcBorders>
          </w:tcPr>
          <w:p w14:paraId="57A86132" w14:textId="77777777" w:rsidR="00950924" w:rsidRPr="00950924" w:rsidRDefault="00950924" w:rsidP="00950924">
            <w:pPr>
              <w:spacing w:line="259" w:lineRule="auto"/>
              <w:jc w:val="both"/>
              <w:rPr>
                <w:rFonts w:ascii="Garamond" w:hAnsi="Garamond"/>
                <w:bCs/>
                <w:iCs/>
                <w:sz w:val="20"/>
                <w:szCs w:val="20"/>
              </w:rPr>
            </w:pPr>
          </w:p>
        </w:tc>
      </w:tr>
      <w:tr w:rsidR="004C6160" w:rsidRPr="00950924" w14:paraId="1CABF26F" w14:textId="77777777" w:rsidTr="004C6160">
        <w:tc>
          <w:tcPr>
            <w:tcW w:w="1706" w:type="dxa"/>
          </w:tcPr>
          <w:p w14:paraId="7B8DF3C9"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Total </w:t>
            </w:r>
          </w:p>
        </w:tc>
        <w:tc>
          <w:tcPr>
            <w:tcW w:w="1134" w:type="dxa"/>
          </w:tcPr>
          <w:p w14:paraId="0FCE6853"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139 (100.0)</w:t>
            </w:r>
          </w:p>
        </w:tc>
        <w:tc>
          <w:tcPr>
            <w:tcW w:w="1134" w:type="dxa"/>
          </w:tcPr>
          <w:p w14:paraId="7C84E6D4"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181 (100.0)</w:t>
            </w:r>
          </w:p>
        </w:tc>
        <w:tc>
          <w:tcPr>
            <w:tcW w:w="993" w:type="dxa"/>
            <w:vMerge/>
            <w:tcBorders>
              <w:right w:val="nil"/>
            </w:tcBorders>
          </w:tcPr>
          <w:p w14:paraId="11985971" w14:textId="77777777" w:rsidR="00950924" w:rsidRPr="00950924" w:rsidRDefault="00950924" w:rsidP="00950924">
            <w:pPr>
              <w:spacing w:line="259" w:lineRule="auto"/>
              <w:jc w:val="both"/>
              <w:rPr>
                <w:rFonts w:ascii="Garamond" w:hAnsi="Garamond"/>
                <w:bCs/>
                <w:iCs/>
                <w:sz w:val="20"/>
                <w:szCs w:val="20"/>
              </w:rPr>
            </w:pPr>
          </w:p>
        </w:tc>
      </w:tr>
      <w:tr w:rsidR="004C6160" w:rsidRPr="00950924" w14:paraId="7D502DF1" w14:textId="77777777" w:rsidTr="004C6160">
        <w:tc>
          <w:tcPr>
            <w:tcW w:w="1706" w:type="dxa"/>
          </w:tcPr>
          <w:p w14:paraId="0B805083" w14:textId="77777777" w:rsidR="00950924" w:rsidRPr="00950924" w:rsidRDefault="00950924" w:rsidP="00691BD8">
            <w:pPr>
              <w:spacing w:line="259" w:lineRule="auto"/>
              <w:rPr>
                <w:rFonts w:ascii="Garamond" w:hAnsi="Garamond"/>
                <w:b/>
                <w:bCs/>
                <w:iCs/>
                <w:sz w:val="20"/>
                <w:szCs w:val="20"/>
              </w:rPr>
            </w:pPr>
            <w:r w:rsidRPr="00950924">
              <w:rPr>
                <w:rFonts w:ascii="Garamond" w:hAnsi="Garamond"/>
                <w:b/>
                <w:bCs/>
                <w:iCs/>
                <w:sz w:val="20"/>
                <w:szCs w:val="20"/>
              </w:rPr>
              <w:t>Child’s birth Order</w:t>
            </w:r>
          </w:p>
        </w:tc>
        <w:tc>
          <w:tcPr>
            <w:tcW w:w="1134" w:type="dxa"/>
          </w:tcPr>
          <w:p w14:paraId="549D704E" w14:textId="77777777" w:rsidR="00950924" w:rsidRPr="00950924" w:rsidRDefault="00950924" w:rsidP="00950924">
            <w:pPr>
              <w:spacing w:line="259" w:lineRule="auto"/>
              <w:jc w:val="both"/>
              <w:rPr>
                <w:rFonts w:ascii="Garamond" w:hAnsi="Garamond"/>
                <w:bCs/>
                <w:iCs/>
                <w:sz w:val="20"/>
                <w:szCs w:val="20"/>
              </w:rPr>
            </w:pPr>
          </w:p>
        </w:tc>
        <w:tc>
          <w:tcPr>
            <w:tcW w:w="1134" w:type="dxa"/>
          </w:tcPr>
          <w:p w14:paraId="36EA3B73" w14:textId="77777777" w:rsidR="00950924" w:rsidRPr="00950924" w:rsidRDefault="00950924" w:rsidP="00950924">
            <w:pPr>
              <w:spacing w:line="259" w:lineRule="auto"/>
              <w:jc w:val="both"/>
              <w:rPr>
                <w:rFonts w:ascii="Garamond" w:hAnsi="Garamond"/>
                <w:bCs/>
                <w:iCs/>
                <w:sz w:val="20"/>
                <w:szCs w:val="20"/>
              </w:rPr>
            </w:pPr>
          </w:p>
        </w:tc>
        <w:tc>
          <w:tcPr>
            <w:tcW w:w="993" w:type="dxa"/>
            <w:vMerge w:val="restart"/>
            <w:tcBorders>
              <w:right w:val="nil"/>
            </w:tcBorders>
          </w:tcPr>
          <w:p w14:paraId="52F77FD2" w14:textId="77777777" w:rsidR="00950924" w:rsidRPr="00950924" w:rsidRDefault="00950924" w:rsidP="00950924">
            <w:pPr>
              <w:spacing w:line="259" w:lineRule="auto"/>
              <w:jc w:val="both"/>
              <w:rPr>
                <w:rFonts w:ascii="Garamond" w:hAnsi="Garamond"/>
                <w:bCs/>
                <w:iCs/>
                <w:sz w:val="20"/>
                <w:szCs w:val="20"/>
              </w:rPr>
            </w:pPr>
          </w:p>
          <w:p w14:paraId="7BEF7B58" w14:textId="77777777" w:rsidR="00950924" w:rsidRPr="00950924" w:rsidRDefault="00950924" w:rsidP="00950924">
            <w:pPr>
              <w:spacing w:line="259" w:lineRule="auto"/>
              <w:jc w:val="both"/>
              <w:rPr>
                <w:rFonts w:ascii="Garamond" w:hAnsi="Garamond"/>
                <w:bCs/>
                <w:iCs/>
                <w:sz w:val="20"/>
                <w:szCs w:val="20"/>
              </w:rPr>
            </w:pPr>
          </w:p>
          <w:p w14:paraId="2D5BD9ED"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0.007(1) </w:t>
            </w:r>
          </w:p>
          <w:p w14:paraId="37C435C9"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(0.934)</w:t>
            </w:r>
          </w:p>
        </w:tc>
      </w:tr>
      <w:tr w:rsidR="004C6160" w:rsidRPr="00950924" w14:paraId="06759780" w14:textId="77777777" w:rsidTr="004C6160">
        <w:tc>
          <w:tcPr>
            <w:tcW w:w="1706" w:type="dxa"/>
          </w:tcPr>
          <w:p w14:paraId="07FF7329"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First</w:t>
            </w:r>
          </w:p>
        </w:tc>
        <w:tc>
          <w:tcPr>
            <w:tcW w:w="1134" w:type="dxa"/>
          </w:tcPr>
          <w:p w14:paraId="6DF1A211"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49 (35.3)</w:t>
            </w:r>
          </w:p>
        </w:tc>
        <w:tc>
          <w:tcPr>
            <w:tcW w:w="1134" w:type="dxa"/>
          </w:tcPr>
          <w:p w14:paraId="69E34C87"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63 (34.8)</w:t>
            </w:r>
          </w:p>
        </w:tc>
        <w:tc>
          <w:tcPr>
            <w:tcW w:w="993" w:type="dxa"/>
            <w:vMerge/>
            <w:tcBorders>
              <w:right w:val="nil"/>
            </w:tcBorders>
          </w:tcPr>
          <w:p w14:paraId="4FFBB5AD" w14:textId="77777777" w:rsidR="00950924" w:rsidRPr="00950924" w:rsidRDefault="00950924" w:rsidP="00950924">
            <w:pPr>
              <w:spacing w:line="259" w:lineRule="auto"/>
              <w:jc w:val="both"/>
              <w:rPr>
                <w:rFonts w:ascii="Garamond" w:hAnsi="Garamond"/>
                <w:bCs/>
                <w:iCs/>
                <w:sz w:val="20"/>
                <w:szCs w:val="20"/>
              </w:rPr>
            </w:pPr>
          </w:p>
        </w:tc>
      </w:tr>
      <w:tr w:rsidR="004C6160" w:rsidRPr="00950924" w14:paraId="3DB8F834" w14:textId="77777777" w:rsidTr="004C6160">
        <w:tc>
          <w:tcPr>
            <w:tcW w:w="1706" w:type="dxa"/>
          </w:tcPr>
          <w:p w14:paraId="6841C152"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Others</w:t>
            </w:r>
          </w:p>
        </w:tc>
        <w:tc>
          <w:tcPr>
            <w:tcW w:w="1134" w:type="dxa"/>
          </w:tcPr>
          <w:p w14:paraId="3DA24CFE"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90 (64.7)</w:t>
            </w:r>
          </w:p>
        </w:tc>
        <w:tc>
          <w:tcPr>
            <w:tcW w:w="1134" w:type="dxa"/>
          </w:tcPr>
          <w:p w14:paraId="16707CD3"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118 (65.2)</w:t>
            </w:r>
          </w:p>
        </w:tc>
        <w:tc>
          <w:tcPr>
            <w:tcW w:w="993" w:type="dxa"/>
            <w:vMerge/>
            <w:tcBorders>
              <w:right w:val="nil"/>
            </w:tcBorders>
          </w:tcPr>
          <w:p w14:paraId="7471683E" w14:textId="77777777" w:rsidR="00950924" w:rsidRPr="00950924" w:rsidRDefault="00950924" w:rsidP="00950924">
            <w:pPr>
              <w:spacing w:line="259" w:lineRule="auto"/>
              <w:jc w:val="both"/>
              <w:rPr>
                <w:rFonts w:ascii="Garamond" w:hAnsi="Garamond"/>
                <w:bCs/>
                <w:iCs/>
                <w:sz w:val="20"/>
                <w:szCs w:val="20"/>
              </w:rPr>
            </w:pPr>
          </w:p>
        </w:tc>
      </w:tr>
      <w:tr w:rsidR="004C6160" w:rsidRPr="00950924" w14:paraId="491735B0" w14:textId="77777777" w:rsidTr="004C6160">
        <w:tc>
          <w:tcPr>
            <w:tcW w:w="1706" w:type="dxa"/>
            <w:tcBorders>
              <w:bottom w:val="single" w:sz="4" w:space="0" w:color="auto"/>
            </w:tcBorders>
          </w:tcPr>
          <w:p w14:paraId="7C16A918"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Total </w:t>
            </w:r>
          </w:p>
        </w:tc>
        <w:tc>
          <w:tcPr>
            <w:tcW w:w="1134" w:type="dxa"/>
            <w:tcBorders>
              <w:bottom w:val="single" w:sz="4" w:space="0" w:color="auto"/>
            </w:tcBorders>
          </w:tcPr>
          <w:p w14:paraId="0C62057E"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139 (100.0)</w:t>
            </w:r>
          </w:p>
        </w:tc>
        <w:tc>
          <w:tcPr>
            <w:tcW w:w="1134" w:type="dxa"/>
            <w:tcBorders>
              <w:bottom w:val="single" w:sz="4" w:space="0" w:color="auto"/>
            </w:tcBorders>
          </w:tcPr>
          <w:p w14:paraId="27796B59"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181 (100.0)</w:t>
            </w:r>
          </w:p>
        </w:tc>
        <w:tc>
          <w:tcPr>
            <w:tcW w:w="993" w:type="dxa"/>
            <w:vMerge/>
            <w:tcBorders>
              <w:bottom w:val="single" w:sz="4" w:space="0" w:color="auto"/>
              <w:right w:val="nil"/>
            </w:tcBorders>
          </w:tcPr>
          <w:p w14:paraId="7817EE20" w14:textId="77777777" w:rsidR="00950924" w:rsidRPr="00950924" w:rsidRDefault="00950924" w:rsidP="00950924">
            <w:pPr>
              <w:spacing w:line="259" w:lineRule="auto"/>
              <w:jc w:val="both"/>
              <w:rPr>
                <w:rFonts w:ascii="Garamond" w:hAnsi="Garamond"/>
                <w:bCs/>
                <w:iCs/>
                <w:sz w:val="20"/>
                <w:szCs w:val="20"/>
              </w:rPr>
            </w:pPr>
          </w:p>
        </w:tc>
      </w:tr>
    </w:tbl>
    <w:p w14:paraId="1A7388B7" w14:textId="77777777" w:rsidR="00950924" w:rsidRPr="00950924" w:rsidRDefault="00950924" w:rsidP="00950924">
      <w:pPr>
        <w:spacing w:line="259" w:lineRule="auto"/>
        <w:jc w:val="both"/>
        <w:rPr>
          <w:rFonts w:ascii="Garamond" w:hAnsi="Garamond"/>
          <w:bCs/>
          <w:iCs/>
          <w:sz w:val="20"/>
          <w:szCs w:val="20"/>
        </w:rPr>
      </w:pPr>
    </w:p>
    <w:p w14:paraId="643E16F2" w14:textId="32AA56F4" w:rsidR="00950924" w:rsidRPr="00691BD8" w:rsidRDefault="00950924" w:rsidP="00950924">
      <w:pPr>
        <w:spacing w:line="259" w:lineRule="auto"/>
        <w:jc w:val="both"/>
        <w:rPr>
          <w:rFonts w:ascii="Garamond" w:hAnsi="Garamond"/>
          <w:bCs/>
          <w:iCs/>
          <w:sz w:val="20"/>
          <w:szCs w:val="20"/>
          <w:lang w:val="en-GB"/>
        </w:rPr>
      </w:pPr>
      <w:r w:rsidRPr="00950924">
        <w:rPr>
          <w:rFonts w:ascii="Garamond" w:hAnsi="Garamond"/>
          <w:bCs/>
          <w:iCs/>
          <w:sz w:val="20"/>
          <w:szCs w:val="20"/>
        </w:rPr>
        <w:t>Logistic regression analysis of TEM use and associated factors showed that only education had a statistically significant association with TEM use with mothers who had secondary education or lower being 2.276 times more likely to use TEM on their children than those with higher education (AOR =</w:t>
      </w:r>
      <w:r w:rsidRPr="00950924">
        <w:rPr>
          <w:rFonts w:ascii="Garamond" w:hAnsi="Garamond"/>
          <w:bCs/>
          <w:iCs/>
          <w:sz w:val="20"/>
          <w:szCs w:val="20"/>
          <w:lang w:val="en-GB"/>
        </w:rPr>
        <w:t>2.276, 95% CI =1.397 -3.707, p = 0.01) (Table 6)</w:t>
      </w:r>
    </w:p>
    <w:p w14:paraId="3D031FA6"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 xml:space="preserve">Table 6: </w:t>
      </w:r>
      <w:r w:rsidRPr="00950924">
        <w:rPr>
          <w:rFonts w:ascii="Garamond" w:hAnsi="Garamond"/>
          <w:iCs/>
          <w:sz w:val="20"/>
          <w:szCs w:val="20"/>
        </w:rPr>
        <w:t>Logistic Regression analysis of TEM Use and Associated Factors</w:t>
      </w:r>
      <w:r w:rsidRPr="00950924">
        <w:rPr>
          <w:rFonts w:ascii="Garamond" w:hAnsi="Garamond"/>
          <w:b/>
          <w:bCs/>
          <w:iCs/>
          <w:sz w:val="20"/>
          <w:szCs w:val="20"/>
        </w:rPr>
        <w:t xml:space="preserve"> </w:t>
      </w:r>
    </w:p>
    <w:tbl>
      <w:tblPr>
        <w:tblStyle w:val="TableGrid"/>
        <w:tblW w:w="467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1701"/>
        <w:gridCol w:w="850"/>
      </w:tblGrid>
      <w:tr w:rsidR="00950924" w:rsidRPr="00950924" w14:paraId="79545D73" w14:textId="77777777" w:rsidTr="004C6160">
        <w:tc>
          <w:tcPr>
            <w:tcW w:w="2127" w:type="dxa"/>
            <w:tcBorders>
              <w:top w:val="single" w:sz="4" w:space="0" w:color="auto"/>
              <w:bottom w:val="single" w:sz="4" w:space="0" w:color="auto"/>
            </w:tcBorders>
          </w:tcPr>
          <w:p w14:paraId="3BE20610"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Variable</w:t>
            </w:r>
          </w:p>
        </w:tc>
        <w:tc>
          <w:tcPr>
            <w:tcW w:w="1701" w:type="dxa"/>
            <w:tcBorders>
              <w:top w:val="single" w:sz="4" w:space="0" w:color="auto"/>
              <w:bottom w:val="single" w:sz="4" w:space="0" w:color="auto"/>
            </w:tcBorders>
          </w:tcPr>
          <w:p w14:paraId="690F56B9"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Cs/>
                <w:sz w:val="20"/>
                <w:szCs w:val="20"/>
              </w:rPr>
              <w:t>AOR (95% CI)</w:t>
            </w:r>
          </w:p>
        </w:tc>
        <w:tc>
          <w:tcPr>
            <w:tcW w:w="850" w:type="dxa"/>
            <w:tcBorders>
              <w:top w:val="single" w:sz="4" w:space="0" w:color="auto"/>
              <w:bottom w:val="single" w:sz="4" w:space="0" w:color="auto"/>
            </w:tcBorders>
          </w:tcPr>
          <w:p w14:paraId="0C7ED8EB" w14:textId="77777777" w:rsidR="00950924" w:rsidRPr="00950924" w:rsidRDefault="00950924" w:rsidP="00950924">
            <w:pPr>
              <w:spacing w:line="259" w:lineRule="auto"/>
              <w:jc w:val="both"/>
              <w:rPr>
                <w:rFonts w:ascii="Garamond" w:hAnsi="Garamond"/>
                <w:b/>
                <w:bCs/>
                <w:iCs/>
                <w:sz w:val="20"/>
                <w:szCs w:val="20"/>
              </w:rPr>
            </w:pPr>
            <w:r w:rsidRPr="00950924">
              <w:rPr>
                <w:rFonts w:ascii="Garamond" w:hAnsi="Garamond"/>
                <w:b/>
                <w:bCs/>
                <w:i/>
                <w:iCs/>
                <w:sz w:val="20"/>
                <w:szCs w:val="20"/>
              </w:rPr>
              <w:t>p</w:t>
            </w:r>
            <w:r w:rsidRPr="00950924">
              <w:rPr>
                <w:rFonts w:ascii="Garamond" w:hAnsi="Garamond"/>
                <w:b/>
                <w:bCs/>
                <w:iCs/>
                <w:sz w:val="20"/>
                <w:szCs w:val="20"/>
              </w:rPr>
              <w:t>-value</w:t>
            </w:r>
          </w:p>
        </w:tc>
      </w:tr>
      <w:tr w:rsidR="00950924" w:rsidRPr="00950924" w14:paraId="40EE9212" w14:textId="77777777" w:rsidTr="004C6160">
        <w:tc>
          <w:tcPr>
            <w:tcW w:w="2127" w:type="dxa"/>
            <w:tcBorders>
              <w:top w:val="single" w:sz="4" w:space="0" w:color="auto"/>
            </w:tcBorders>
          </w:tcPr>
          <w:p w14:paraId="3491F9D1"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Mothers Age group</w:t>
            </w:r>
          </w:p>
        </w:tc>
        <w:tc>
          <w:tcPr>
            <w:tcW w:w="1701" w:type="dxa"/>
            <w:tcBorders>
              <w:top w:val="single" w:sz="4" w:space="0" w:color="auto"/>
            </w:tcBorders>
          </w:tcPr>
          <w:p w14:paraId="5F299646" w14:textId="77777777" w:rsidR="00950924" w:rsidRPr="00950924" w:rsidRDefault="00950924" w:rsidP="00950924">
            <w:pPr>
              <w:spacing w:line="259" w:lineRule="auto"/>
              <w:jc w:val="both"/>
              <w:rPr>
                <w:rFonts w:ascii="Garamond" w:hAnsi="Garamond"/>
                <w:bCs/>
                <w:iCs/>
                <w:sz w:val="20"/>
                <w:szCs w:val="20"/>
              </w:rPr>
            </w:pPr>
          </w:p>
        </w:tc>
        <w:tc>
          <w:tcPr>
            <w:tcW w:w="850" w:type="dxa"/>
            <w:tcBorders>
              <w:top w:val="single" w:sz="4" w:space="0" w:color="auto"/>
            </w:tcBorders>
          </w:tcPr>
          <w:p w14:paraId="5976E2FB" w14:textId="77777777" w:rsidR="00950924" w:rsidRPr="00950924" w:rsidRDefault="00950924" w:rsidP="00950924">
            <w:pPr>
              <w:spacing w:line="259" w:lineRule="auto"/>
              <w:jc w:val="both"/>
              <w:rPr>
                <w:rFonts w:ascii="Garamond" w:hAnsi="Garamond"/>
                <w:bCs/>
                <w:iCs/>
                <w:sz w:val="20"/>
                <w:szCs w:val="20"/>
              </w:rPr>
            </w:pPr>
          </w:p>
        </w:tc>
      </w:tr>
      <w:tr w:rsidR="00950924" w:rsidRPr="00950924" w14:paraId="2FFDE5C3" w14:textId="77777777" w:rsidTr="004C6160">
        <w:tc>
          <w:tcPr>
            <w:tcW w:w="2127" w:type="dxa"/>
          </w:tcPr>
          <w:p w14:paraId="1B66A30B"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&lt;30 years</w:t>
            </w:r>
          </w:p>
        </w:tc>
        <w:tc>
          <w:tcPr>
            <w:tcW w:w="1701" w:type="dxa"/>
          </w:tcPr>
          <w:p w14:paraId="4B89A30E"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0.914 (0.569-1.740)</w:t>
            </w:r>
          </w:p>
        </w:tc>
        <w:tc>
          <w:tcPr>
            <w:tcW w:w="850" w:type="dxa"/>
          </w:tcPr>
          <w:p w14:paraId="7A41238E"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0.538</w:t>
            </w:r>
          </w:p>
        </w:tc>
      </w:tr>
      <w:tr w:rsidR="00950924" w:rsidRPr="00950924" w14:paraId="0BE7EA93" w14:textId="77777777" w:rsidTr="004C6160">
        <w:tc>
          <w:tcPr>
            <w:tcW w:w="2127" w:type="dxa"/>
          </w:tcPr>
          <w:p w14:paraId="3A644853"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≥30 years</w:t>
            </w:r>
          </w:p>
        </w:tc>
        <w:tc>
          <w:tcPr>
            <w:tcW w:w="1701" w:type="dxa"/>
          </w:tcPr>
          <w:p w14:paraId="343773DE"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Reference (1) </w:t>
            </w:r>
          </w:p>
        </w:tc>
        <w:tc>
          <w:tcPr>
            <w:tcW w:w="850" w:type="dxa"/>
          </w:tcPr>
          <w:p w14:paraId="4E64CBB6" w14:textId="77777777" w:rsidR="00950924" w:rsidRPr="00950924" w:rsidRDefault="00950924" w:rsidP="00950924">
            <w:pPr>
              <w:spacing w:line="259" w:lineRule="auto"/>
              <w:jc w:val="both"/>
              <w:rPr>
                <w:rFonts w:ascii="Garamond" w:hAnsi="Garamond"/>
                <w:bCs/>
                <w:iCs/>
                <w:sz w:val="20"/>
                <w:szCs w:val="20"/>
              </w:rPr>
            </w:pPr>
          </w:p>
        </w:tc>
      </w:tr>
      <w:tr w:rsidR="00950924" w:rsidRPr="00950924" w14:paraId="77D84DE9" w14:textId="77777777" w:rsidTr="004C6160">
        <w:tc>
          <w:tcPr>
            <w:tcW w:w="2127" w:type="dxa"/>
          </w:tcPr>
          <w:p w14:paraId="5B1EBAA1"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Child’s Age Group</w:t>
            </w:r>
          </w:p>
        </w:tc>
        <w:tc>
          <w:tcPr>
            <w:tcW w:w="1701" w:type="dxa"/>
          </w:tcPr>
          <w:p w14:paraId="44EA994A" w14:textId="77777777" w:rsidR="00950924" w:rsidRPr="00950924" w:rsidRDefault="00950924" w:rsidP="00950924">
            <w:pPr>
              <w:spacing w:line="259" w:lineRule="auto"/>
              <w:jc w:val="both"/>
              <w:rPr>
                <w:rFonts w:ascii="Garamond" w:hAnsi="Garamond"/>
                <w:bCs/>
                <w:iCs/>
                <w:sz w:val="20"/>
                <w:szCs w:val="20"/>
              </w:rPr>
            </w:pPr>
          </w:p>
        </w:tc>
        <w:tc>
          <w:tcPr>
            <w:tcW w:w="850" w:type="dxa"/>
          </w:tcPr>
          <w:p w14:paraId="77078DD0" w14:textId="77777777" w:rsidR="00950924" w:rsidRPr="00950924" w:rsidRDefault="00950924" w:rsidP="00950924">
            <w:pPr>
              <w:spacing w:line="259" w:lineRule="auto"/>
              <w:jc w:val="both"/>
              <w:rPr>
                <w:rFonts w:ascii="Garamond" w:hAnsi="Garamond"/>
                <w:bCs/>
                <w:iCs/>
                <w:sz w:val="20"/>
                <w:szCs w:val="20"/>
              </w:rPr>
            </w:pPr>
          </w:p>
        </w:tc>
      </w:tr>
      <w:tr w:rsidR="00950924" w:rsidRPr="00950924" w14:paraId="7247E177" w14:textId="77777777" w:rsidTr="004C6160">
        <w:tc>
          <w:tcPr>
            <w:tcW w:w="2127" w:type="dxa"/>
          </w:tcPr>
          <w:p w14:paraId="4031CC78"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&lt;6 months</w:t>
            </w:r>
          </w:p>
        </w:tc>
        <w:tc>
          <w:tcPr>
            <w:tcW w:w="1701" w:type="dxa"/>
          </w:tcPr>
          <w:p w14:paraId="517DF5ED" w14:textId="77777777" w:rsidR="00950924" w:rsidRPr="00950924" w:rsidRDefault="00950924" w:rsidP="00950924">
            <w:pPr>
              <w:spacing w:line="259" w:lineRule="auto"/>
              <w:jc w:val="both"/>
              <w:rPr>
                <w:rFonts w:ascii="Garamond" w:hAnsi="Garamond"/>
                <w:bCs/>
                <w:iCs/>
                <w:sz w:val="20"/>
                <w:szCs w:val="20"/>
                <w:lang w:val="en-GB"/>
              </w:rPr>
            </w:pPr>
            <w:r w:rsidRPr="00950924">
              <w:rPr>
                <w:rFonts w:ascii="Garamond" w:hAnsi="Garamond"/>
                <w:bCs/>
                <w:iCs/>
                <w:sz w:val="20"/>
                <w:szCs w:val="20"/>
                <w:lang w:val="en-GB"/>
              </w:rPr>
              <w:t>1.283 (0.792 -2.080)</w:t>
            </w:r>
          </w:p>
        </w:tc>
        <w:tc>
          <w:tcPr>
            <w:tcW w:w="850" w:type="dxa"/>
          </w:tcPr>
          <w:p w14:paraId="6850793C"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0.311</w:t>
            </w:r>
          </w:p>
        </w:tc>
      </w:tr>
      <w:tr w:rsidR="00950924" w:rsidRPr="00950924" w14:paraId="30D1D55B" w14:textId="77777777" w:rsidTr="004C6160">
        <w:tc>
          <w:tcPr>
            <w:tcW w:w="2127" w:type="dxa"/>
          </w:tcPr>
          <w:p w14:paraId="4AA176EF"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≥6 months</w:t>
            </w:r>
          </w:p>
        </w:tc>
        <w:tc>
          <w:tcPr>
            <w:tcW w:w="1701" w:type="dxa"/>
          </w:tcPr>
          <w:p w14:paraId="2F5C8D76"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lang w:val="en-GB"/>
              </w:rPr>
              <w:t>Reference (1)</w:t>
            </w:r>
          </w:p>
        </w:tc>
        <w:tc>
          <w:tcPr>
            <w:tcW w:w="850" w:type="dxa"/>
          </w:tcPr>
          <w:p w14:paraId="0CABAB28" w14:textId="77777777" w:rsidR="00950924" w:rsidRPr="00950924" w:rsidRDefault="00950924" w:rsidP="00950924">
            <w:pPr>
              <w:spacing w:line="259" w:lineRule="auto"/>
              <w:jc w:val="both"/>
              <w:rPr>
                <w:rFonts w:ascii="Garamond" w:hAnsi="Garamond"/>
                <w:bCs/>
                <w:iCs/>
                <w:sz w:val="20"/>
                <w:szCs w:val="20"/>
              </w:rPr>
            </w:pPr>
          </w:p>
        </w:tc>
      </w:tr>
      <w:tr w:rsidR="00950924" w:rsidRPr="00950924" w14:paraId="386B6A9B" w14:textId="77777777" w:rsidTr="004C6160">
        <w:tc>
          <w:tcPr>
            <w:tcW w:w="2127" w:type="dxa"/>
          </w:tcPr>
          <w:p w14:paraId="7CF2C3E5"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Mother’s Educational Attainment</w:t>
            </w:r>
          </w:p>
        </w:tc>
        <w:tc>
          <w:tcPr>
            <w:tcW w:w="1701" w:type="dxa"/>
          </w:tcPr>
          <w:p w14:paraId="08521F1B" w14:textId="77777777" w:rsidR="00950924" w:rsidRPr="00950924" w:rsidRDefault="00950924" w:rsidP="00950924">
            <w:pPr>
              <w:spacing w:line="259" w:lineRule="auto"/>
              <w:jc w:val="both"/>
              <w:rPr>
                <w:rFonts w:ascii="Garamond" w:hAnsi="Garamond"/>
                <w:bCs/>
                <w:iCs/>
                <w:sz w:val="20"/>
                <w:szCs w:val="20"/>
              </w:rPr>
            </w:pPr>
          </w:p>
        </w:tc>
        <w:tc>
          <w:tcPr>
            <w:tcW w:w="850" w:type="dxa"/>
          </w:tcPr>
          <w:p w14:paraId="51800C79" w14:textId="77777777" w:rsidR="00950924" w:rsidRPr="00950924" w:rsidRDefault="00950924" w:rsidP="00950924">
            <w:pPr>
              <w:spacing w:line="259" w:lineRule="auto"/>
              <w:jc w:val="both"/>
              <w:rPr>
                <w:rFonts w:ascii="Garamond" w:hAnsi="Garamond"/>
                <w:bCs/>
                <w:iCs/>
                <w:sz w:val="20"/>
                <w:szCs w:val="20"/>
              </w:rPr>
            </w:pPr>
          </w:p>
        </w:tc>
      </w:tr>
      <w:tr w:rsidR="00950924" w:rsidRPr="00950924" w14:paraId="5F7D39F0" w14:textId="77777777" w:rsidTr="004C6160">
        <w:tc>
          <w:tcPr>
            <w:tcW w:w="2127" w:type="dxa"/>
          </w:tcPr>
          <w:p w14:paraId="0BE57E53"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secondary and below</w:t>
            </w:r>
          </w:p>
        </w:tc>
        <w:tc>
          <w:tcPr>
            <w:tcW w:w="1701" w:type="dxa"/>
          </w:tcPr>
          <w:p w14:paraId="7E2BEA99"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lang w:val="en-GB"/>
              </w:rPr>
              <w:t>2.276(1.397 -3.707)</w:t>
            </w:r>
          </w:p>
        </w:tc>
        <w:tc>
          <w:tcPr>
            <w:tcW w:w="850" w:type="dxa"/>
          </w:tcPr>
          <w:p w14:paraId="75D3F57A"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0.01*</w:t>
            </w:r>
          </w:p>
        </w:tc>
      </w:tr>
      <w:tr w:rsidR="00950924" w:rsidRPr="00950924" w14:paraId="228F928D" w14:textId="77777777" w:rsidTr="004C6160">
        <w:tc>
          <w:tcPr>
            <w:tcW w:w="2127" w:type="dxa"/>
          </w:tcPr>
          <w:p w14:paraId="62248653"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 Above secondary</w:t>
            </w:r>
          </w:p>
        </w:tc>
        <w:tc>
          <w:tcPr>
            <w:tcW w:w="1701" w:type="dxa"/>
          </w:tcPr>
          <w:p w14:paraId="2E420BB3"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lang w:val="en-GB"/>
              </w:rPr>
              <w:t>Reference (1)</w:t>
            </w:r>
          </w:p>
        </w:tc>
        <w:tc>
          <w:tcPr>
            <w:tcW w:w="850" w:type="dxa"/>
          </w:tcPr>
          <w:p w14:paraId="36C79AEF" w14:textId="77777777" w:rsidR="00950924" w:rsidRPr="00950924" w:rsidRDefault="00950924" w:rsidP="00950924">
            <w:pPr>
              <w:spacing w:line="259" w:lineRule="auto"/>
              <w:jc w:val="both"/>
              <w:rPr>
                <w:rFonts w:ascii="Garamond" w:hAnsi="Garamond"/>
                <w:bCs/>
                <w:iCs/>
                <w:sz w:val="20"/>
                <w:szCs w:val="20"/>
              </w:rPr>
            </w:pPr>
          </w:p>
        </w:tc>
      </w:tr>
      <w:tr w:rsidR="00950924" w:rsidRPr="00950924" w14:paraId="7B0FC869" w14:textId="77777777" w:rsidTr="004C6160">
        <w:tc>
          <w:tcPr>
            <w:tcW w:w="2127" w:type="dxa"/>
          </w:tcPr>
          <w:p w14:paraId="78F5E8E3"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Birth order</w:t>
            </w:r>
          </w:p>
        </w:tc>
        <w:tc>
          <w:tcPr>
            <w:tcW w:w="1701" w:type="dxa"/>
          </w:tcPr>
          <w:p w14:paraId="0CF4391D" w14:textId="77777777" w:rsidR="00950924" w:rsidRPr="00950924" w:rsidRDefault="00950924" w:rsidP="00950924">
            <w:pPr>
              <w:spacing w:line="259" w:lineRule="auto"/>
              <w:jc w:val="both"/>
              <w:rPr>
                <w:rFonts w:ascii="Garamond" w:hAnsi="Garamond"/>
                <w:bCs/>
                <w:iCs/>
                <w:sz w:val="20"/>
                <w:szCs w:val="20"/>
              </w:rPr>
            </w:pPr>
          </w:p>
        </w:tc>
        <w:tc>
          <w:tcPr>
            <w:tcW w:w="850" w:type="dxa"/>
          </w:tcPr>
          <w:p w14:paraId="103FCFB3" w14:textId="77777777" w:rsidR="00950924" w:rsidRPr="00950924" w:rsidRDefault="00950924" w:rsidP="00950924">
            <w:pPr>
              <w:spacing w:line="259" w:lineRule="auto"/>
              <w:jc w:val="both"/>
              <w:rPr>
                <w:rFonts w:ascii="Garamond" w:hAnsi="Garamond"/>
                <w:bCs/>
                <w:iCs/>
                <w:sz w:val="20"/>
                <w:szCs w:val="20"/>
              </w:rPr>
            </w:pPr>
          </w:p>
        </w:tc>
      </w:tr>
      <w:tr w:rsidR="00950924" w:rsidRPr="00950924" w14:paraId="09BB7C57" w14:textId="77777777" w:rsidTr="004C6160">
        <w:tc>
          <w:tcPr>
            <w:tcW w:w="2127" w:type="dxa"/>
          </w:tcPr>
          <w:p w14:paraId="278861CD"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First</w:t>
            </w:r>
          </w:p>
        </w:tc>
        <w:tc>
          <w:tcPr>
            <w:tcW w:w="1701" w:type="dxa"/>
          </w:tcPr>
          <w:p w14:paraId="361CC07A"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lang w:val="en-GB"/>
              </w:rPr>
              <w:t>0.937 (0.560-1.567)</w:t>
            </w:r>
          </w:p>
        </w:tc>
        <w:tc>
          <w:tcPr>
            <w:tcW w:w="850" w:type="dxa"/>
          </w:tcPr>
          <w:p w14:paraId="0810DB58"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lang w:val="en-GB"/>
              </w:rPr>
              <w:t>0.803</w:t>
            </w:r>
          </w:p>
        </w:tc>
      </w:tr>
      <w:tr w:rsidR="00950924" w:rsidRPr="00950924" w14:paraId="1F9A8859" w14:textId="77777777" w:rsidTr="004C6160">
        <w:tc>
          <w:tcPr>
            <w:tcW w:w="2127" w:type="dxa"/>
          </w:tcPr>
          <w:p w14:paraId="789DC003"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Others</w:t>
            </w:r>
          </w:p>
        </w:tc>
        <w:tc>
          <w:tcPr>
            <w:tcW w:w="1701" w:type="dxa"/>
          </w:tcPr>
          <w:p w14:paraId="56DC2BF3"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lang w:val="en-GB"/>
              </w:rPr>
              <w:t xml:space="preserve">Reference (1) </w:t>
            </w:r>
          </w:p>
        </w:tc>
        <w:tc>
          <w:tcPr>
            <w:tcW w:w="850" w:type="dxa"/>
          </w:tcPr>
          <w:p w14:paraId="578EE2AA" w14:textId="77777777" w:rsidR="00950924" w:rsidRPr="00950924" w:rsidRDefault="00950924" w:rsidP="00950924">
            <w:pPr>
              <w:spacing w:line="259" w:lineRule="auto"/>
              <w:jc w:val="both"/>
              <w:rPr>
                <w:rFonts w:ascii="Garamond" w:hAnsi="Garamond"/>
                <w:bCs/>
                <w:iCs/>
                <w:sz w:val="20"/>
                <w:szCs w:val="20"/>
              </w:rPr>
            </w:pPr>
          </w:p>
        </w:tc>
      </w:tr>
    </w:tbl>
    <w:p w14:paraId="066D8A17" w14:textId="77777777" w:rsidR="00950924" w:rsidRPr="00691BD8" w:rsidRDefault="00950924" w:rsidP="00950924">
      <w:pPr>
        <w:spacing w:line="259" w:lineRule="auto"/>
        <w:jc w:val="both"/>
        <w:rPr>
          <w:rFonts w:ascii="Garamond" w:hAnsi="Garamond"/>
          <w:bCs/>
          <w:iCs/>
          <w:sz w:val="16"/>
          <w:szCs w:val="16"/>
        </w:rPr>
      </w:pPr>
      <w:r w:rsidRPr="00691BD8">
        <w:rPr>
          <w:rFonts w:ascii="Garamond" w:hAnsi="Garamond"/>
          <w:bCs/>
          <w:iCs/>
          <w:sz w:val="16"/>
          <w:szCs w:val="16"/>
        </w:rPr>
        <w:t>*</w:t>
      </w:r>
      <w:proofErr w:type="gramStart"/>
      <w:r w:rsidRPr="00691BD8">
        <w:rPr>
          <w:rFonts w:ascii="Garamond" w:hAnsi="Garamond"/>
          <w:bCs/>
          <w:iCs/>
          <w:sz w:val="16"/>
          <w:szCs w:val="16"/>
        </w:rPr>
        <w:t>statistically</w:t>
      </w:r>
      <w:proofErr w:type="gramEnd"/>
      <w:r w:rsidRPr="00691BD8">
        <w:rPr>
          <w:rFonts w:ascii="Garamond" w:hAnsi="Garamond"/>
          <w:bCs/>
          <w:iCs/>
          <w:sz w:val="16"/>
          <w:szCs w:val="16"/>
        </w:rPr>
        <w:t xml:space="preserve"> significant</w:t>
      </w:r>
    </w:p>
    <w:p w14:paraId="45040AFE" w14:textId="77777777" w:rsidR="004C6160" w:rsidRDefault="004C6160" w:rsidP="00950924">
      <w:pPr>
        <w:spacing w:line="259" w:lineRule="auto"/>
        <w:jc w:val="both"/>
        <w:rPr>
          <w:rFonts w:ascii="Garamond" w:hAnsi="Garamond"/>
          <w:b/>
          <w:bCs/>
          <w:iCs/>
          <w:sz w:val="22"/>
          <w:szCs w:val="22"/>
        </w:rPr>
      </w:pPr>
    </w:p>
    <w:p w14:paraId="335739F8" w14:textId="69E9ABC5" w:rsidR="00950924" w:rsidRPr="00950924" w:rsidRDefault="00691BD8" w:rsidP="00950924">
      <w:pPr>
        <w:spacing w:line="259" w:lineRule="auto"/>
        <w:jc w:val="both"/>
        <w:rPr>
          <w:rFonts w:ascii="Garamond" w:hAnsi="Garamond"/>
          <w:b/>
          <w:bCs/>
          <w:iCs/>
          <w:sz w:val="22"/>
          <w:szCs w:val="22"/>
        </w:rPr>
      </w:pPr>
      <w:r w:rsidRPr="00950924">
        <w:rPr>
          <w:rFonts w:ascii="Garamond" w:hAnsi="Garamond"/>
          <w:b/>
          <w:bCs/>
          <w:iCs/>
          <w:sz w:val="22"/>
          <w:szCs w:val="22"/>
        </w:rPr>
        <w:t>DISCUSSION</w:t>
      </w:r>
    </w:p>
    <w:p w14:paraId="523213D6" w14:textId="446FA751" w:rsidR="004C6160"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The results of this study suggest that the use of TEM in children by mothers is common practice as up to 43.4% of the mothers interviewed used TEM. This suggests the need for increased awareness and education of mothers about the dangers of TEM use for their children. It could be beneficial to have eye health education activities such as talks and use of infographic posters included in the counselling given to mothers attending immunization clinics. Also, education of community health workers and immunization clinic staff would be helpful in equipping them to better integrate eye health </w:t>
      </w:r>
      <w:r w:rsidR="00691BD8" w:rsidRPr="00950924">
        <w:rPr>
          <w:rFonts w:ascii="Garamond" w:hAnsi="Garamond"/>
          <w:bCs/>
          <w:iCs/>
          <w:sz w:val="20"/>
          <w:szCs w:val="20"/>
        </w:rPr>
        <w:t>education into</w:t>
      </w:r>
      <w:r w:rsidRPr="00950924">
        <w:rPr>
          <w:rFonts w:ascii="Garamond" w:hAnsi="Garamond"/>
          <w:bCs/>
          <w:iCs/>
          <w:sz w:val="20"/>
          <w:szCs w:val="20"/>
        </w:rPr>
        <w:t xml:space="preserve"> immunization clinic education activities. The prevalence of TEM use in this study is higher than earlier studies in different populations in Nigeria (1.6% -13.8%)</w:t>
      </w:r>
      <w:r w:rsidRPr="00950924">
        <w:rPr>
          <w:rFonts w:ascii="Garamond" w:hAnsi="Garamond"/>
          <w:bCs/>
          <w:iCs/>
          <w:sz w:val="20"/>
          <w:szCs w:val="20"/>
        </w:rPr>
        <w:fldChar w:fldCharType="begin" w:fldLock="1"/>
      </w:r>
      <w:r w:rsidRPr="00950924">
        <w:rPr>
          <w:rFonts w:ascii="Garamond" w:hAnsi="Garamond"/>
          <w:bCs/>
          <w:iCs/>
          <w:sz w:val="20"/>
          <w:szCs w:val="20"/>
        </w:rPr>
        <w:instrText>ADDIN CSL_CITATION {"citationItems":[{"id":"ITEM-1","itemData":{"DOI":"10.4103/1119-3077.91744","ISSN":"11193077","PMID":"22248938","abstract":"To determine the incidence and risk factors for traditional eye medicine use among patients at the Guinness Eye Center Onitsha, Nigeria. Materials and Methods: Consecutive new adult ophthalmic patients seen at the Guinness Eye Center Onitsha between January and April 2007 were interviewed on the use of traditional eye medicines and the type of traditional eye medicine used. Results: Of the 500 patients interviewed, 66 (13.2%) had used traditional eye medicines (TEM). The 66 patients, aged 18-84, were made up of 32 males and 34 females. The commonly used TEM were liquid from plant leaves and roots and other concoctions of unknown origin. Conjunctivitis and cataract constituted 54.5% of the ocular problems; 15(22.7%) patients had visual impairment while 5(7.6%) other patients were blind. Risk factors for TEM use include age above 50 years (P&lt;0.001); residence outside Onitsha metropolis (P&lt;0.001) or &gt;25 kilometres away from our hospital (P&lt;0.02) and lack of any formal education (P&lt;0.02). Decision to use TEM was not affected bygender (P&gt;0.05); chronic nature (P&gt;0.05) or painfulness of the ocular disease (P&gt;0.05). Conclusions: Traditional eye medicine is highly patronized by the people. Health education programmes with emphasis on safe eye care practices need be intensified in traditional healers and among the groups at risk.","author":[{"dropping-particle":"","family":"Nwosu","given":"S. N.N.","non-dropping-particle":"","parse-names":false,"suffix":""},{"dropping-particle":"","family":"Obidiozor","given":"J. U.","non-dropping-particle":"","parse-names":false,"suffix":""}],"container-title":"Nigerian journal of clinical practice","id":"ITEM-1","issue":"4","issued":{"date-parts":[["2011","10"]]},"page":"405-407","publisher":"Niger J Clin Pract","title":"Incidence and risk factors for traditional eye medicine use among patients at a tertiary eye hospital in Nigeria","type":"article-journal","volume":"14"},"uris":["http://www.mendeley.com/documents/?uuid=9f35690a-a879-3dac-92cc-bc51eafc0b43"]},{"id":"ITEM-2","itemData":{"DOI":"10.5539/gjhs.v5n4p55","ISSN":"19169736","PMID":"23777721","abstract":"Ocular trauma of varying aetiologies do occur frequently, however when different traditional/harmful substances are applied before presentation in the hospital, prognosis in terms of visual outcome following treatment may be worse than expected. This study is aimed at determining the prevalence of harmful/traditional eye medication practices among patients with traumatic eye injury in a tertiary institution. It is a retrospective study of patients seen at the eye clinic of the Ekiti State University Teaching Hospital (a state government owned hospital), Ado Ekiti, from January to December 2009. A review of case notes (medical records) of patients with history of ocular trauma both open and closed globe injury and who presented to the eye clinic of the Ekiti State University Teaching Hospital, Ado Ekiti from January to December 2009 was carried out. Demographic data of the patients, nature of the ocular trauma, substances applied to the eyes, visual acuity at presentation and after treatment were extracted. Frequencies and percentages were used in analysing the data. A total of 1420 new patients attended the eye clinic during the study period (January to December 2009). Forty eight (3.4%) applied various substances into their eyes after sustaining ocular injury. Substances applied include Kerosene 25%, cassava water 20.8%, breast milk 12.5%, personal urine 10.8%, and cow urine 8.3%. Nearly half of the patients 23 (47.9%) presented with low vision and after treatment there was no visual improvement in almost all of them, 22 (45.8%). The period before presentation ranges between 1hr -2 weeks post injury. However, the number of monocular blindness reduced from 8 (16.7%) to 5 (10.4%) after treatment. Kerosene and Cassava water were the common substances applied to the injured eye. The use of these harmful and traditional eye medications on injured eyes can reduce further the visual prognosis despite ophthalmic intervention.","author":[{"dropping-particle":"","family":"Ajite","given":"Kayode Olumide","non-dropping-particle":"","parse-names":false,"suffix":""},{"dropping-particle":"","family":"Fadamiro","given":"Olufunmilayo Christianah","non-dropping-particle":"","parse-names":false,"suffix":""}],"container-title":"Global Journal of Health Science","id":"ITEM-2","issue":"4","issued":{"date-parts":[["2013"]]},"page":"55","title":"Prevalence of Harmful/Traditional Medication Use in Traumatic Eye Injury","type":"article-journal","volume":"5"},"uris":["http://www.mendeley.com/documents/?uuid=117737b5-b7b0-37db-947f-bc7b76368f1a"]},{"id":"ITEM-3","itemData":{"author":[{"dropping-particle":"","family":"Oyediji","given":"F","non-dropping-particle":"","parse-names":false,"suffix":""},{"dropping-particle":"","family":"Ramyil","given":"A","non-dropping-particle":"","parse-names":false,"suffix":""},{"dropping-particle":"","family":"Odugbo","given":"P","non-dropping-particle":"","parse-names":false,"suffix":""},{"dropping-particle":"","family":"Mpyet","given":"C","non-dropping-particle":"","parse-names":false,"suffix":""}],"container-title":"Jos Journal of Medicine","id":"ITEM-3","issue":"1","issued":{"date-parts":[["2019"]]},"page":"67-75","title":"Traditional eye practices: a facility-based study in North Central Nigeria","type":"article-journal","volume":"13"},"uris":["http://www.mendeley.com/documents/?uuid=13930ccf-da05-3258-a1b5-3403b59dbdbd"]},{"id":"ITEM-4","itemData":{"DOI":"10.1186/1472-6882-9-40","ISSN":"14726882","PMID":"19852826","abstract":"Background: This study set out to determine the incidence, socio-demographic, and clinical correlates of Traditional Eye Medicine (TEM) use in a population of newly presenting ophthalmic outpatients attending a tertiary eye care centre in south-eastern Nigeria. Methods: In a comparative cross-sectional survey at the eye clinic of the University of Nigeria Teaching Hospital (UNTH), Enugu, between August 2004 - July 2006, all newly presenting ophthalmic outpatients were recruited. Participants' socio-demographic and clinical data and profile of TEM use were obtained from history and examination of each participant and entered into a pretested questionnaire and proforma. Participants were subsequently categorized into TEM- users and non-users; intra-group analysis yielded proportions, frequencies, and percentages while chi-square test was used for inter-group comparisons at P = 0.01, df = 1. Results: Of the 2,542 (males, 48.1%; females, 51.9%) participants, 149 (5.9%) (males, 45%; females, 55%) used TEM for their current eye disease. The TEMs used were chemical substances (57.7%), plant products (37.7%), and animal products (4.7%). They were more often prescribed by non-traditional (66.4%) than traditional (36.9%) medicine practitioners. TEMs were used on account of vision loss (58.5%), ocular itching (25.4%) and eye discharge (3.8%). Reported efficacy from previous users (67.1%) and belief in potency (28.2%) were the main reasons for using TEM. Civil servants (20.1%), farmers (17.7%), and traders (14.1%) were the leading users of TEM. TEM use was significantly associated with younger age (p &lt; 0.01), being married (p &lt; 0.01), rural residence (p &lt; 0.01), ocular anterior segment disease (p &lt; 0.01), delayed presentation (p &lt; 0.01), low presenting visual acuity (p &lt; 0.01), and co-morbid chronic medical disease (p &lt; 0.01), but not with gender (p = 0.157), and educational status (p = 0.115). Conclusion: The incidence of TEM use among new ophthalmic outpatients at UNTH is low. The reasons for TEM use are amenable to positive change through enhanced delivery of promotive, preventive, and curative public eye care services. This has implications for eye care planners and implementers. To reverse the trend, we suggest strengthening of eye care programmes, even distribution of eye care resources, active collaboration with orthodox eye care providers and traditional medical practitioners, and intensification of research efforts into the pharmacology of TEMs. © 2009 Eze…","author":[{"dropping-particle":"","family":"Eze","given":"Boniface I.","non-dropping-particle":"","parse-names":false,"suffix":""},{"dropping-particle":"","family":"Chuka-Okosa","given":"Chimdi M.","non-dropping-particle":"","parse-names":false,"suffix":""},{"dropping-particle":"","family":"Uche","given":"Judith N.","non-dropping-particle":"","parse-names":false,"suffix":""}],"container-title":"BMC Complementary and Alternative Medicine","id":"ITEM-4","issued":{"date-parts":[["2009","10","24"]]},"page":"40","publisher":"BioMed Central Ltd.","title":"Traditional eye medicine use by newly presenting ophthalmic patients to a teaching hospital in south-eastern Nigeria: socio-demographic and clinical correlates","type":"article-journal","volume":"9"},"uris":["http://www.mendeley.com/documents/?uuid=c5949b26-85ef-369d-8919-e5c8ccd78def"]},{"id":"ITEM-5","itemData":{"DOI":"10.4103/0974-9233.71596","ISSN":"0974-9233","PMID":"21180431","abstract":"PURPOSE The aim of this study was to determine the types and nature of traditional eye medications (TEMs), their sources, and the ocular complications that may arise from use in a teaching hospital in Nigeria. MATERIALS AND METHODS A prospective study of consecutive subjects who used TEM before presentation to the Eye Clinic of the University of Benin Teaching Hospital, Benin City, Nigeria between July 1, 2004 and June 30, 2008. P &lt; 0.05 was considered statistically significant. RESULTS A total of 113 subjects were evaluated of which 64 were males (56.6%), females (43.4%) were females. There was no significant difference in the number of males and females (P &gt; 0.05). Rural dwellers were more likely to use TEM than urban dwellers (P &lt; 0.0001). The mean age of the subjects was 47.9 ± 22.3 years (range, 4-90 years). The most common traditional medication was derived from plant extracts (54.9%) followed by concoctions (21.2%). Complications occurred in 54.8% of the subjects. Ocular complications included corneal opacities in 13.35% of subjects, staphyloma in 9%, and corneal ulcers in 8%. Other complications were panophthalmitis, endophthalmitis, uveitis, cataract, and bullous keratopathy. Eleven subjects underwent evisceration or enucleation of the affected eye. There was no significant difference in the type of medication used and ocular complications (P = 0.956). Sources of TEM were self-medication in 38.9% of subjects, relatives in 27.4%, and traditional healers in 17.7%. CONCLUSION The use of TEM is a common practice that could be harmful and lead to blindness. Proper health education of the public and traditional healers can reduce the prevalence of preventable blindness.","author":[{"dropping-particle":"","family":"Ukponmwan","given":"Catherine U","non-dropping-particle":"","parse-names":false,"suffix":""},{"dropping-particle":"","family":"Momoh","given":"Nanaiashat","non-dropping-particle":"","parse-names":false,"suffix":""}],"container-title":"Middle East African Journal of Ophthalmology","id":"ITEM-5","issue":"4","issued":{"date-parts":[["2010"]]},"page":"315","publisher":"Medknow","title":"Incidence and Complications of Traditional Eye Medications in Nigeria in a Teaching Hospital","type":"article-journal","volume":"17"},"uris":["http://www.mendeley.com/documents/?uuid=fab5a30a-7389-3cc0-ac8c-b56a0efb3618"]},{"id":"ITEM-6","itemData":{"DOI":"10.60787/PHMJ.V11I2.142","ISSN":"0795-3038","abstract":"Introduction: The perceived high cost of eye care services has been implicated as one of the reasons for the use of traditional eye medications (TEMs) in the country. Other factors including distance, tradition, ignorance, and failure of medical treatment among others have also been documented as determinants of TEM use. TEMs constitute a wide range of unorthodox therapies utilized for treatment of ocular disorders. They have been reported to have no beneficial effect rather causing more harm than good.\nAim: This study sought to determine the prevalence, types, and ocular indications for TEM use in the study population.\nMethods: This was a cross-sectional study in which a structured questionnaire was used to collect relevant data from consecutive patients attending the eye clinic during the study.\nResults: At a prevalence of 15.8%, the highest use of TEM was noted among artisans, those in the seventh decade of life, with low level of education, ocular complaints of poor vision, and illness of &amp;lt;1 year duration. Its use though high, was not significantly associated with age, sex, education, occupation and illness duration. Roots and herbs were the most common types of TEM used.\nConclusion: There was a high prevalence of use of TEM in this study. The deleterious effect of its use is known and has been reported in literature. Education and enlightenment of the public are needed and highly recommended.","author":[{"dropping-particle":"","family":"Achigbu","given":"Eberechukwu Ogbeanu","non-dropping-particle":"","parse-names":false,"suffix":""},{"dropping-particle":"","family":"Achigbu","given":"Kingsley Ihedioha","non-dropping-particle":"","parse-names":false,"suffix":""}],"container-title":"Port Harcourt Medical Journal","id":"ITEM-6","issue":"2","issued":{"date-parts":[["2017","6","1"]]},"page":"79-83","title":"Traditional eye medicine use among ophthalmic patients attending a secondary health care center in Southeast Nigeria","type":"article-journal","volume":"11"},"uris":["http://www.mendeley.com/documents/?uuid=544d4cce-5381-3efc-9398-51e71c522208"]}],"mendeley":{"formattedCitation":"&lt;sup&gt;[10–14,18]&lt;/sup&gt;","plainTextFormattedCitation":"[10–14,18]","previouslyFormattedCitation":"&lt;sup&gt;[11–15,19]&lt;/sup&gt;"},"properties":{"noteIndex":0},"schema":"https://github.com/citation-style-language/schema/raw/master/csl-citation.json"}</w:instrText>
      </w:r>
      <w:r w:rsidRPr="00950924">
        <w:rPr>
          <w:rFonts w:ascii="Garamond" w:hAnsi="Garamond"/>
          <w:bCs/>
          <w:iCs/>
          <w:sz w:val="20"/>
          <w:szCs w:val="20"/>
        </w:rPr>
        <w:fldChar w:fldCharType="separate"/>
      </w:r>
      <w:r w:rsidRPr="00950924">
        <w:rPr>
          <w:rFonts w:ascii="Garamond" w:hAnsi="Garamond"/>
          <w:bCs/>
          <w:iCs/>
          <w:sz w:val="20"/>
          <w:szCs w:val="20"/>
          <w:vertAlign w:val="superscript"/>
        </w:rPr>
        <w:t>[10–14,18]</w:t>
      </w:r>
      <w:r w:rsidRPr="00950924">
        <w:rPr>
          <w:rFonts w:ascii="Garamond" w:hAnsi="Garamond"/>
          <w:bCs/>
          <w:iCs/>
          <w:sz w:val="20"/>
          <w:szCs w:val="20"/>
        </w:rPr>
        <w:fldChar w:fldCharType="end"/>
      </w:r>
      <w:r w:rsidRPr="00950924">
        <w:rPr>
          <w:rFonts w:ascii="Garamond" w:hAnsi="Garamond"/>
          <w:bCs/>
          <w:iCs/>
          <w:sz w:val="20"/>
          <w:szCs w:val="20"/>
        </w:rPr>
        <w:t xml:space="preserve"> However, it is similar to what was reported in a similar study in the Northeast, Nigeria</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{"citationItems":[{"id":"ITEM-1","itemData":{"DOI":"10.71526/jmwan.v10i2.7","ISSN":"3043-4750","abstract":"Background: Traditional eye medication (TEM) use is widespread in sub-Saharan Africa, particularly in Nigeria, where it remains a major public health concern. This practice remains prevalent among nursing mothers who may use TEM to manage eye conditions either for their infants or themselves. This study assessed the prevalence, types as well as the determinants influencing TEM usage among nursing mothers in Northeast Nigeria.\nMethodology: A hospital-based cross-sectional study was conducted in Bauchi and Taraba states in Northeast Nigeria between November and February 2025. A multistage sampling technique was used for sampling respondents. Four hundred and twenty-two (422) nursing mothers were interviewed using a questionnaire. Thequantitative variables were summarised using mean/median and standard deviation appropriately. Associations between the socio-demographic characteristics and the outcome variables were done using chi-square, and a p-value of &amp;lt;0.05 was considered statistically significant.\nResults: The study found that 68.5% of nursing mothers reported using Traditional Eye Medications (TEM), with 40.5% administering TEM to their children. The most used TEM was breast milk (55.7%), while the commonest indication for TEM use was red eye (161, 55.7%). Factors such as urban residence, occupation (particularly tradersand civil servants), and household income below 150,000 Naira were associated with TEM use.\nConclusion: TEM use remains prevalent among nursing mothers in Northeast Nigeria, with breast milk being the most frequently used form. Public health interventions targeting awareness and eye health education are crucial to addressing this issue and protecting maternal and child eye health.","author":[{"dropping-particle":"","family":"Ibrahim","given":"Yusuf","non-dropping-particle":"","parse-names":false,"suffix":""},{"dropping-particle":"","family":"Ibrahim Abiodun","given":"Yusuf","non-dropping-particle":"","parse-names":false,"suffix":""},{"dropping-particle":"","family":"Kabiru Zailani","given":"Abdulrasaq","non-dropping-particle":"","parse-names":false,"suffix":""},{"dropping-particle":"","family":"Muhammed Yusuf","given":"Tanimu","non-dropping-particle":"","parse-names":false,"suffix":""},{"dropping-particle":"","family":"yabagi","given":"Fatima","non-dropping-particle":"","parse-names":false,"suffix":""},{"dropping-particle":"","family":"Zainab","given":"Umar","non-dropping-particle":"","parse-names":false,"suffix":""},{"dropping-particle":"","family":"Anekoson Joshua","given":"Istifanus","non-dropping-particle":"","parse-names":false,"suffix":""}],"container-title":"Journal of The Medical Women's Association of Nigeria","id":"ITEM-1","issue":"2","issued":{"date-parts":[["2025","8","12"]]},"title":"Prevalence, Types and Determinants of Traditional Eye Medication(TEM) Usage Among Nursing Mothers in Northeast Nigeria","type":"article-journal","volume":"10"},"uris":["http://www.mendeley.com/documents/?uuid=40ee60ff-4992-3c9d-b7e1-1059b37f7fc2"]}],"mendeley":{"formattedCitation":"&lt;sup&gt;[15]&lt;/sup&gt;","plainTextFormattedCitation":"[15]","previouslyFormattedCitation":"&lt;sup&gt;[16]&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[15]</w:t>
      </w:r>
      <w:r w:rsidRPr="00950924">
        <w:rPr>
          <w:rFonts w:ascii="Garamond" w:hAnsi="Garamond"/>
          <w:bCs/>
          <w:iCs/>
          <w:sz w:val="20"/>
          <w:szCs w:val="20"/>
        </w:rPr>
        <w:fldChar w:fldCharType="end"/>
      </w:r>
      <w:r w:rsidRPr="00950924">
        <w:rPr>
          <w:rFonts w:ascii="Garamond" w:hAnsi="Garamond"/>
          <w:bCs/>
          <w:iCs/>
          <w:sz w:val="20"/>
          <w:szCs w:val="20"/>
        </w:rPr>
        <w:t xml:space="preserve"> where 40.5% of nursing mothers reported using TEM on their children.</w:t>
      </w:r>
    </w:p>
    <w:p w14:paraId="256CAE57" w14:textId="0A72A6D8"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lastRenderedPageBreak/>
        <w:t>In our study, those who donated breast milk also used TEM on their children. This is not unexpected as one would usually encourage and enable others to use what they too have used or experienced. A similar finding of high use of breast milk on the eyes among nursing mothers was reported in Northeast Nigeria on mothers who used on themselves and their children.</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{"citationItems":[{"id":"ITEM-1","itemData":{"DOI":"10.71526/jmwan.v10i2.7","ISSN":"3043-4750","abstract":"Background: Traditional eye medication (TEM) use is widespread in sub-Saharan Africa, particularly in Nigeria, where it remains a major public health concern. This practice remains prevalent among nursing mothers who may use TEM to manage eye conditions either for their infants or themselves. This study assessed the prevalence, types as well as the determinants influencing TEM usage among nursing mothers in Northeast Nigeria.\nMethodology: A hospital-based cross-sectional study was conducted in Bauchi and Taraba states in Northeast Nigeria between November and February 2025. A multistage sampling technique was used for sampling respondents. Four hundred and twenty-two (422) nursing mothers were interviewed using a questionnaire. Thequantitative variables were summarised using mean/median and standard deviation appropriately. Associations between the socio-demographic characteristics and the outcome variables were done using chi-square, and a p-value of &amp;lt;0.05 was considered statistically significant.\nResults: The study found that 68.5% of nursing mothers reported using Traditional Eye Medications (TEM), with 40.5% administering TEM to their children. The most used TEM was breast milk (55.7%), while the commonest indication for TEM use was red eye (161, 55.7%). Factors such as urban residence, occupation (particularly tradersand civil servants), and household income below 150,000 Naira were associated with TEM use.\nConclusion: TEM use remains prevalent among nursing mothers in Northeast Nigeria, with breast milk being the most frequently used form. Public health interventions targeting awareness and eye health education are crucial to addressing this issue and protecting maternal and child eye health.","author":[{"dropping-particle":"","family":"Ibrahim","given":"Yusuf","non-dropping-particle":"","parse-names":false,"suffix":""},{"dropping-particle":"","family":"Ibrahim Abiodun","given":"Yusuf","non-dropping-particle":"","parse-names":false,"suffix":""},{"dropping-particle":"","family":"Kabiru Zailani","given":"Abdulrasaq","non-dropping-particle":"","parse-names":false,"suffix":""},{"dropping-particle":"","family":"Muhammed Yusuf","given":"Tanimu","non-dropping-particle":"","parse-names":false,"suffix":""},{"dropping-particle":"","family":"yabagi","given":"Fatima","non-dropping-particle":"","parse-names":false,"suffix":""},{"dropping-particle":"","family":"Zainab","given":"Umar","non-dropping-particle":"","parse-names":false,"suffix":""},{"dropping-particle":"","family":"Anekoson Joshua","given":"Istifanus","non-dropping-particle":"","parse-names":false,"suffix":""}],"container-title":"Journal of The Medical Women's Association of Nigeria","id":"ITEM-1","issue":"2","issued":{"date-parts":[["2025","8","12"]]},"title":"Prevalence, Types and Determinants of Traditional Eye Medication(TEM) Usage Among Nursing Mothers in Northeast Nigeria","type":"article-journal","volume":"10"},"uris":["http://www.mendeley.com/documents/?uuid=40ee60ff-4992-3c9d-b7e1-1059b37f7fc2"]}],"mendeley":{"formattedCitation":"&lt;sup&gt;[15]&lt;/sup&gt;","plainTextFormattedCitation":"[15]","previouslyFormattedCitation":"&lt;sup&gt;[16]&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[15]</w:t>
      </w:r>
      <w:r w:rsidRPr="00950924">
        <w:rPr>
          <w:rFonts w:ascii="Garamond" w:hAnsi="Garamond"/>
          <w:bCs/>
          <w:iCs/>
          <w:sz w:val="20"/>
          <w:szCs w:val="20"/>
        </w:rPr>
        <w:fldChar w:fldCharType="end"/>
      </w:r>
      <w:r w:rsidRPr="00950924">
        <w:rPr>
          <w:rFonts w:ascii="Garamond" w:hAnsi="Garamond"/>
          <w:bCs/>
          <w:iCs/>
          <w:sz w:val="20"/>
          <w:szCs w:val="20"/>
        </w:rPr>
        <w:t xml:space="preserve"> Breast milk is the gold standard food in infants necessary for healthy growth and development of an infant. Breastmilk, especially, colostrum is known to boost immune system and decrease infections in babies.</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{"citationItems":[{"id":"ITEM-1","itemData":{"DOI":"10.1016/j.nutos.2023.04.008","ISSN":"26672685","abstract":"Background: Breastfeeding is considered the gold standard in infant feeding, as it provides ideal nutrition for infants. Both the World Health Organization (2016) and the American Academy of Pediatrics (2012) recommend exclusive breastfeeding from birth until 6 months of life. Aim: To investigate the association between exclusive breastfeeding and infant growth, as measured by weight, height, and head circumference compared with the growth chart. Materials and Methods: A cross-sectional retrospective community-based study was conducted in a primary health care facility (Maternity and Child Care Center) in Shendi, River Nile State, Sudan. Data were collected from 103 healthy infants with exclusive breastfeeding who attended the maternity and child care center using anthropometric measurements and compared to the Centers for Disease Control and Prevention growth chart. Results: The current study found that most (96.2%) of exclusively breastfed infants weighed within the normal range of the growth chart between the 10th and 90th percentile and that breastfeeding affected average height since all exclusively breastfed infants were within normal height ranges. Exclusive breastfeeding however did not affect head circumference. Conclusions: There was a significant impact of exclusive breastfeeding on the weight and height of infants, but never on head circumference. These findings support the current World Health Organization (WHO), American Academy of Pediatrics, and United Nations International Children's Emergency Fund (UNICEF) recommendation for exclusive breastfeeding during the first 6 months of life as a key to healthy growth and development.","author":[{"dropping-particle":"","family":"Ahmed","given":"Sitelbanat Osman Mohamed","non-dropping-particle":"","parse-names":false,"suffix":""},{"dropping-particle":"","family":"Hamid","given":"Hawa Ibrahim Abdalla","non-dropping-particle":"","parse-names":false,"suffix":""},{"dropping-particle":"","family":"Jothi Shanmugam","given":"Aruna","non-dropping-particle":"","parse-names":false,"suffix":""},{"dropping-particle":"","family":"Tia","given":"Murtada Mustafa Gabir","non-dropping-particle":"","parse-names":false,"suffix":""},{"dropping-particle":"","family":"Alnassry","given":"Soad Mohamed Abdalla","non-dropping-particle":"","parse-names":false,"suffix":""}],"container-title":"Clinical Nutrition Open Science","id":"ITEM-1","issued":{"date-parts":[["2023","6","1"]]},"page":"101-106","publisher":"Elsevier B.V.","title":"Impact of exclusive breastfeeding on physical growth","type":"article-journal","volume":"49"},"uris":["http://www.mendeley.com/documents/?uuid=c45aaded-12d1-3cc0-b7b2-fb9e7bafd0c7"]}],"mendeley":{"formattedCitation":"&lt;sup&gt;[19]&lt;/sup&gt;","plainTextFormattedCitation":"[19]","previouslyFormattedCitation":"&lt;sup&gt;[20]&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[19]</w:t>
      </w:r>
      <w:r w:rsidRPr="00950924">
        <w:rPr>
          <w:rFonts w:ascii="Garamond" w:hAnsi="Garamond"/>
          <w:bCs/>
          <w:iCs/>
          <w:sz w:val="20"/>
          <w:szCs w:val="20"/>
        </w:rPr>
        <w:fldChar w:fldCharType="end"/>
      </w:r>
      <w:r w:rsidRPr="00950924">
        <w:rPr>
          <w:rFonts w:ascii="Garamond" w:hAnsi="Garamond"/>
          <w:bCs/>
          <w:iCs/>
          <w:sz w:val="20"/>
          <w:szCs w:val="20"/>
          <w:vertAlign w:val="superscript"/>
        </w:rPr>
        <w:t xml:space="preserve">  </w:t>
      </w:r>
      <w:r w:rsidRPr="00950924">
        <w:rPr>
          <w:rFonts w:ascii="Garamond" w:hAnsi="Garamond"/>
          <w:bCs/>
          <w:iCs/>
          <w:sz w:val="20"/>
          <w:szCs w:val="20"/>
        </w:rPr>
        <w:t>Generations of mothers have been encouraged to establish and sustain breastfeeding as early as possible to ensure these benefits for their babies. It is probable that this thinking could encourage the use of breastmilk on children’s eyes, ostensibly to secure the same benefit for the eyes.   However</w:t>
      </w:r>
      <w:r w:rsidR="00691BD8">
        <w:rPr>
          <w:rFonts w:ascii="Garamond" w:hAnsi="Garamond"/>
          <w:bCs/>
          <w:iCs/>
          <w:sz w:val="20"/>
          <w:szCs w:val="20"/>
        </w:rPr>
        <w:t>,</w:t>
      </w:r>
      <w:r w:rsidRPr="00950924">
        <w:rPr>
          <w:rFonts w:ascii="Garamond" w:hAnsi="Garamond"/>
          <w:bCs/>
          <w:iCs/>
          <w:sz w:val="20"/>
          <w:szCs w:val="20"/>
        </w:rPr>
        <w:t xml:space="preserve"> its use as an agent to treat eye conditions is strongly discouraged by eye care practitioners. The information on harmful effects of breast milk to the eyes may not be as widespread among mothers. In addition, cultural and traditional beliefs which could sometimes be strongly held, are known drivers of maternal practices for their children’s health.</w:t>
      </w:r>
      <w:r w:rsidRPr="00950924">
        <w:rPr>
          <w:rFonts w:ascii="Garamond" w:hAnsi="Garamond"/>
          <w:bCs/>
          <w:iCs/>
          <w:sz w:val="20"/>
          <w:szCs w:val="20"/>
        </w:rPr>
        <w:fldChar w:fldCharType="begin" w:fldLock="1"/>
      </w:r>
      <w:r w:rsidRPr="00950924">
        <w:rPr>
          <w:rFonts w:ascii="Garamond" w:hAnsi="Garamond"/>
          <w:bCs/>
          <w:iCs/>
          <w:sz w:val="20"/>
          <w:szCs w:val="20"/>
        </w:rPr>
        <w:instrText>ADDIN CSL_CITATION {"citationItems":[{"id":"ITEM-1","itemData":{"DOI":"10.25259/anmrp_4_2019","ISSN":"2672-4715","abstract":"Objective: The influence of cultural and traditional beliefs on key maternal and child health practices in the developing nations cannot be overemphasized. This study was carried out to determine the influence of cultural and traditional beliefs on key maternal and child health practices among rural and urban mothers in Cross River State. Materials and Methods: The study design was a comparative analytical cross-sectional study among mothers with under-five children in rural and urban households in Cross River State and the study populations comprised mothers of under-five children and traditional birth attendants in Cross River State. Sampling technique used to select respondents in the rural and urban sites was multistage sampling method and the sample size was determined using standard method of comparing two independent groups. For focus group discussion (FGD), the purposive sampling method was employed in both study sites. The study instrument was a semi-structured questionnaire and data obtained were analyzed using SPSS version 21.0. Results: Statistical analysis showed that the age of mother, husband, and marriage of women from the rural communities were significantly higher (P &gt; 0.05) than that of women from the urban communities. Knowledge of the cultural beliefs of their people concerning maternal and child health is significantly higher in the rural communities than in the urban communities (P &lt; 0.0001). Similarly, there was significant difference in the cultural dispositions of the rural and urban communities to maternal and child health practices (P &lt; 0.05). The results of this study suggest that traditional beliefs influence maternal and child health-care practices in Cross River State, Nigeria. Conclusions: It is therefore concluded that cultural and traditional influences on maternal and child health practices are predominant in rural settings, with positive or indifferent cultural disposition to recommended practice being commonly associated with such practice. Maternal health education as well as education and engagement of traditional leaders are highly recommended. This should be focused at corrective reorientation toward the preference of recommended best practices that they currently do not support while sustaining the effort at encouraging other best practices.","author":[{"dropping-particle":"","family":"Ikechukwu","given":"H. Ukweh","non-dropping-particle":"","parse-names":false,"suffix":""},{"dropping-particle":"","family":"Ofonime","given":"N. Ukweh","non-dropping-particle":"","parse-names":false,"suffix":""},{"dropping-particle":"","family":"Kofoworola","given":"Odeyemi","non-dropping-particle":"","parse-names":false,"suffix":""},{"dropping-particle":"","family":"Asukwo","given":"D. Ekanem","non-dropping-particle":"","parse-names":false,"suffix":""}],"container-title":"Annals of Medical Research and Practice","id":"ITEM-1","issued":{"date-parts":[["2020","4","6"]]},"page":"4","publisher":"Scientific Scholar","title":"Influence of cultural and traditional beliefs on maternal and child health practices in rural and urban communities in Cross River State, Nigeria","type":"article-journal","volume":"1"},"uris":["http://www.mendeley.com/documents/?uuid=816dda04-1e27-3b3e-bc04-a6682e9cded3"]}],"mendeley":{"formattedCitation":"&lt;sup&gt;[20]&lt;/sup&gt;","plainTextFormattedCitation":"[20]","previouslyFormattedCitation":"&lt;sup&gt;[21]&lt;/sup&gt;"},"properties":{"noteIndex":0},"schema":"https://github.com/citation-style-language/schema/raw/master/csl-citation.json"}</w:instrText>
      </w:r>
      <w:r w:rsidRPr="00950924">
        <w:rPr>
          <w:rFonts w:ascii="Garamond" w:hAnsi="Garamond"/>
          <w:bCs/>
          <w:iCs/>
          <w:sz w:val="20"/>
          <w:szCs w:val="20"/>
        </w:rPr>
        <w:fldChar w:fldCharType="separate"/>
      </w:r>
      <w:r w:rsidRPr="00950924">
        <w:rPr>
          <w:rFonts w:ascii="Garamond" w:hAnsi="Garamond"/>
          <w:bCs/>
          <w:iCs/>
          <w:sz w:val="20"/>
          <w:szCs w:val="20"/>
          <w:vertAlign w:val="superscript"/>
        </w:rPr>
        <w:t>[20]</w:t>
      </w:r>
      <w:r w:rsidRPr="00950924">
        <w:rPr>
          <w:rFonts w:ascii="Garamond" w:hAnsi="Garamond"/>
          <w:bCs/>
          <w:iCs/>
          <w:sz w:val="20"/>
          <w:szCs w:val="20"/>
        </w:rPr>
        <w:fldChar w:fldCharType="end"/>
      </w:r>
      <w:r w:rsidRPr="00950924">
        <w:rPr>
          <w:rFonts w:ascii="Garamond" w:hAnsi="Garamond"/>
          <w:bCs/>
          <w:iCs/>
          <w:sz w:val="20"/>
          <w:szCs w:val="20"/>
        </w:rPr>
        <w:t xml:space="preserve">   Instillation of breast milk to infected or traumatic eyes is known to cause or worsen infection and may lead to endophthalmitis and </w:t>
      </w:r>
      <w:proofErr w:type="spellStart"/>
      <w:r w:rsidRPr="00950924">
        <w:rPr>
          <w:rFonts w:ascii="Garamond" w:hAnsi="Garamond"/>
          <w:bCs/>
          <w:iCs/>
          <w:sz w:val="20"/>
          <w:szCs w:val="20"/>
        </w:rPr>
        <w:t>panophthalmitis</w:t>
      </w:r>
      <w:proofErr w:type="spellEnd"/>
      <w:r w:rsidRPr="00950924">
        <w:rPr>
          <w:rFonts w:ascii="Garamond" w:hAnsi="Garamond"/>
          <w:bCs/>
          <w:iCs/>
          <w:sz w:val="20"/>
          <w:szCs w:val="20"/>
        </w:rPr>
        <w:t>.</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{"citationItems":[{"id":"ITEM-1","itemData":{"DOI":"10.1080/27707571.2022.2160581","abstract":"Traditional eye medicine is widely practiced around the world. It is employed by the order of traditional healers or local physicians who are well-known for knowing and practicing the most common t...","author":[{"dropping-particle":"","family":"Eticha","given":"Biruk Lelisa","non-dropping-particle":"","parse-names":false,"suffix":""},{"dropping-particle":"","family":"Assaye","given":"Aragaw Kegne","non-dropping-particle":"","parse-names":false,"suffix":""},{"dropping-particle":"","family":"Alemu","given":"Haile Woretaw","non-dropping-particle":"","parse-names":false,"suffix":""}],"container-title":"Cogent Public Health","id":"ITEM-1","issue":"1","issued":{"date-parts":[["2023","12","31"]]},"publisher":"Cogent","title":"Prevalence of traditional eye medicine use and its associated factors among adult ophthalmic patients in Gondar region of Ethiopia in 2020","type":"article-journal","volume":"10"},"uris":["http://www.mendeley.com/documents/?uuid=0cb2e760-6bbd-3f2b-9728-c13a53226a74"]},{"id":"ITEM-2","itemData":{"abstract":"Objective: To report complications resulting from the application of breast milk to the infected and injured eye seen at the University of Benin Teaching Hospital (UBTH) between st st age, symptoms and signs, visual acuity, treatment and ocular complications were noted. Results: Four (80%) of the patients developed complications following instillation of breast milk in the eyes. Two patients developed endophthalmitis, 1 for bacterial conjunctivitis and 1 for trauma; 1 patient developed panophthalmitis, and the fourth developed endophthalmitis. One child with bacterial conjunctivitis did not develop any complication. Conclusion: Four out of the five patients studied lost vision in the affected eye after developing endophthalmitis and panophthalmitis following breast milk instillation in the infected and injured eyes.","author":[{"dropping-particle":"","family":"Ukponmwan","given":"CU","non-dropping-particle":"","parse-names":false,"suffix":""},{"dropping-particle":"","family":"Okolo","given":"OT","non-dropping-particle":"","parse-names":false,"suffix":""},{"dropping-particle":"","family":"Kayoma","given":"DH","non-dropping-particle":"","parse-names":false,"suffix":""},{"dropping-particle":"","family":"Ese-Onakewhor","given":"J","non-dropping-particle":"","parse-names":false,"suffix":""}],"container-title":"Nigerian Journal of Ophthalmology","id":"ITEM-2","issue":"1","issued":{"date-parts":[["2009"]]},"page":"32-35","title":"Complications of Breast Milk Application to the Infected Eye","type":"article-journal","volume":"17"},"uris":["http://www.mendeley.com/documents/?uuid=d7c694e0-4950-32f9-a65e-5e9ac7a413fd"]}],"mendeley":{"formattedCitation":"&lt;sup&gt;[3,21]&lt;/sup&gt;","plainTextFormattedCitation":"[3,21]","previouslyFormattedCitation":"&lt;sup&gt;[3,22]&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[3,21]</w:t>
      </w:r>
      <w:r w:rsidRPr="00950924">
        <w:rPr>
          <w:rFonts w:ascii="Garamond" w:hAnsi="Garamond"/>
          <w:bCs/>
          <w:iCs/>
          <w:sz w:val="20"/>
          <w:szCs w:val="20"/>
        </w:rPr>
        <w:fldChar w:fldCharType="end"/>
      </w:r>
      <w:r w:rsidRPr="00950924">
        <w:rPr>
          <w:rFonts w:ascii="Garamond" w:hAnsi="Garamond"/>
          <w:bCs/>
          <w:iCs/>
          <w:sz w:val="20"/>
          <w:szCs w:val="20"/>
          <w:vertAlign w:val="superscript"/>
        </w:rPr>
        <w:t xml:space="preserve"> </w:t>
      </w:r>
      <w:r w:rsidRPr="00950924">
        <w:rPr>
          <w:rFonts w:ascii="Garamond" w:hAnsi="Garamond"/>
          <w:bCs/>
          <w:iCs/>
          <w:sz w:val="20"/>
          <w:szCs w:val="20"/>
        </w:rPr>
        <w:t xml:space="preserve">In the present study, the mothers’ understanding of the infection risk of breastmilk was not explored. Eye discharge was the commonest indication for use of TEM in this study. This practice can have grave consequences on an already infected eye. The use of antimony granules” </w:t>
      </w:r>
      <w:proofErr w:type="spellStart"/>
      <w:r w:rsidRPr="00950924">
        <w:rPr>
          <w:rFonts w:ascii="Garamond" w:hAnsi="Garamond"/>
          <w:bCs/>
          <w:iCs/>
          <w:sz w:val="20"/>
          <w:szCs w:val="20"/>
        </w:rPr>
        <w:t>otangele</w:t>
      </w:r>
      <w:proofErr w:type="spellEnd"/>
      <w:r w:rsidRPr="00950924">
        <w:rPr>
          <w:rFonts w:ascii="Garamond" w:hAnsi="Garamond"/>
          <w:bCs/>
          <w:iCs/>
          <w:sz w:val="20"/>
          <w:szCs w:val="20"/>
        </w:rPr>
        <w:t xml:space="preserve">” is also high in this group. Antimony granules known locally as </w:t>
      </w:r>
      <w:proofErr w:type="spellStart"/>
      <w:r w:rsidRPr="00950924">
        <w:rPr>
          <w:rFonts w:ascii="Garamond" w:hAnsi="Garamond"/>
          <w:bCs/>
          <w:iCs/>
          <w:sz w:val="20"/>
          <w:szCs w:val="20"/>
        </w:rPr>
        <w:t>otangele</w:t>
      </w:r>
      <w:proofErr w:type="spellEnd"/>
      <w:r w:rsidRPr="00950924">
        <w:rPr>
          <w:rFonts w:ascii="Garamond" w:hAnsi="Garamond"/>
          <w:bCs/>
          <w:iCs/>
          <w:sz w:val="20"/>
          <w:szCs w:val="20"/>
        </w:rPr>
        <w:t xml:space="preserve"> or kohl in Arabic is known to contain toxic elements which can lead to lead intoxication in children.</w:t>
      </w:r>
      <w:r w:rsidRPr="00950924">
        <w:rPr>
          <w:rFonts w:ascii="Garamond" w:hAnsi="Garamond"/>
          <w:bCs/>
          <w:iCs/>
          <w:sz w:val="20"/>
          <w:szCs w:val="20"/>
        </w:rPr>
        <w:fldChar w:fldCharType="begin" w:fldLock="1"/>
      </w:r>
      <w:r w:rsidRPr="00950924">
        <w:rPr>
          <w:rFonts w:ascii="Garamond" w:hAnsi="Garamond"/>
          <w:bCs/>
          <w:iCs/>
          <w:sz w:val="20"/>
          <w:szCs w:val="20"/>
        </w:rPr>
        <w:instrText>ADDIN CSL_CITATION {"citationItems":[{"id":"ITEM-1","itemData":{"DOI":"10.1016/j.envres.2020.109658","ISSN":"10960953","PMID":"32447088","abstract":"Kohl is an eye cosmetic that was traditionally used in many Asian and African countries but that is now more widely available. Ingredients of kohl reported in previous studies seem to be rather variable but mention is frequently made of minerals based on Pb whose use in cosmetic products is prohibited in Europe. We purchased 23 products of kohl from retail outlets in five different European countries and over the internet and analysed their chemical composition by XRF and SEM-EDXS. The majority of the products (n = 17) did not conform with European legislation based on the presence of Pb (often as galena), whose concentrations ranged from a few mg kg−1 to over 400000 mg kg−1. Cadmium, another element prohibited in cosmetic products in Europe, was also present as a contaminant in 13 products at concentrations up to a few hundred mg kg−1. In addition to heavy metals, minerals of other metals (e.g. Fe and Zn) appeared to be present in the nano-size range and might represent an additional health hazard. Clearly, the lack of quality control in the manufacture of kohl results in the widespread occurrence of toxic and unwanted elements and the trade of illegal products in Europe. In principle, shop sales would be relatively straightforward to prevent, but products traded through internet are more difficult to regulate.","author":[{"dropping-particle":"","family":"Filella","given":"Montserrat","non-dropping-particle":"","parse-names":false,"suffix":""},{"dropping-particle":"","family":"Martignier","given":"Agathe","non-dropping-particle":"","parse-names":false,"suffix":""},{"dropping-particle":"","family":"Turner","given":"Andrew","non-dropping-particle":"","parse-names":false,"suffix":""}],"container-title":"Environmental Research","id":"ITEM-1","issued":{"date-parts":[["2020","8","1"]]},"page":"109658","publisher":"Academic Press","title":"Kohl containing lead (and other toxic elements) is widely available in Europe","type":"article-journal","volume":"187"},"uris":["http://www.mendeley.com/documents/?uuid=2464312e-781d-3fe7-9fe1-8510d273ed5f"]},{"id":"ITEM-2","itemData":{"DOI":"10.15585/mmwr.mm7330a2","ISSN":"0149-2195","PMID":"39088375","abstract":"Even low levels of lead in children's blood are associated with developmental delays, difficulty learning, and behavioral issues. Adults are also vulnerable to the detrimental health effects of lead exposure. The New York City (NYC) Department of Health and Mental Hygiene receives blood lead test results for NYC residents and conducts investigations of lead poisoning cases. Blood lead testing of a child aged 4 years in 2012 led to the discovery of blood lead levels above the CDC blood lead reference value of 3.5 μg/dL in the child as well as four other family members over a period of 11 years, including the child's mother and three younger siblings born during 2012-2016. The only potential source of lead exposure 1 1 1 Summary What is already known about this topic? Surma, a traditional eye cosmetic, has been recognized as a source of lead exposure among adults and children. Banned in the United States, surma is often purchased abroad and hand-carried into the country. What is added by this report? A blood lead level above CDC's blood lead reference value detected in a child in New York City in 2012 was associated with use of surma. Over a period of 11 years, four other family members, including the child's mother and three younger siblings, were also affected. What are the implications for public health practice? Cultural practices often persist despite health warnings and can span generations, highlighting challenges in risk communication and the importance of comprehensive family follow-up once a family member at risk of lead exposure is identified.","author":[{"dropping-particle":"","family":"Hore","given":"Paromita","non-dropping-particle":"","parse-names":false,"suffix":""},{"dropping-particle":"","family":"Sedlar","given":"Slavenka","non-dropping-particle":"","parse-names":false,"suffix":""},{"dropping-particle":"","family":"Ehrlich","given":"Jacqueline","non-dropping-particle":"","parse-names":false,"suffix":""}],"container-title":"Morbidity and Mortality Weekly Report","id":"ITEM-2","issue":"30","issued":{"date-parts":[["2024","8","1"]]},"page":"667","publisher":"Centers for Disease Control MMWR Office","title":"Lead Poisoning in a Mother and Her Four Children Using a Traditional Eye Cosmetic — New York City, 2012–2023","type":"article-journal","volume":"73"},"uris":["http://www.mendeley.com/documents/?uuid=7d7fa0e3-5e0c-39c5-abd9-737a115f6d8d"]}],"mendeley":{"formattedCitation":"&lt;sup&gt;[22,23]&lt;/sup&gt;","plainTextFormattedCitation":"[22,23]","previouslyFormattedCitation":"&lt;sup&gt;[23,24]&lt;/sup&gt;"},"properties":{"noteIndex":0},"schema":"https://github.com/citation-style-language/schema/raw/master/csl-citation.json"}</w:instrText>
      </w:r>
      <w:r w:rsidRPr="00950924">
        <w:rPr>
          <w:rFonts w:ascii="Garamond" w:hAnsi="Garamond"/>
          <w:bCs/>
          <w:iCs/>
          <w:sz w:val="20"/>
          <w:szCs w:val="20"/>
        </w:rPr>
        <w:fldChar w:fldCharType="separate"/>
      </w:r>
      <w:r w:rsidRPr="00950924">
        <w:rPr>
          <w:rFonts w:ascii="Garamond" w:hAnsi="Garamond"/>
          <w:bCs/>
          <w:iCs/>
          <w:sz w:val="20"/>
          <w:szCs w:val="20"/>
          <w:vertAlign w:val="superscript"/>
        </w:rPr>
        <w:t>[22,23]</w:t>
      </w:r>
      <w:r w:rsidRPr="00950924">
        <w:rPr>
          <w:rFonts w:ascii="Garamond" w:hAnsi="Garamond"/>
          <w:bCs/>
          <w:iCs/>
          <w:sz w:val="20"/>
          <w:szCs w:val="20"/>
        </w:rPr>
        <w:fldChar w:fldCharType="end"/>
      </w:r>
      <w:r w:rsidRPr="00950924">
        <w:rPr>
          <w:rFonts w:ascii="Garamond" w:hAnsi="Garamond"/>
          <w:bCs/>
          <w:iCs/>
          <w:sz w:val="20"/>
          <w:szCs w:val="20"/>
        </w:rPr>
        <w:t xml:space="preserve"> The most common indication reported by Nathaniel and Eze</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{"citationItems":[{"id":"ITEM-1","itemData":{"DOI":"10.25259/GJCSRO_29_2023","ISSN":"2835-4974","abstract":"Background/Aim: The use of traditional eye medication (TEM) is an age-long practice whose negative effects on eye health have been well documented. TEM involves the application of different harmful preparations to the eye as a form of treatment. This article is aimed at highlighting the burden of harmful traditional practices on eye care in Nigeria. Methodology: A review of available literature was conducted to summarize the different types of harmful traditional eye practices in Nigeria, including the many different preparations used. Prevalence of harmful traditional practices, determinants, burden in Nigeria. Issues relating to determinants, prevalence, indications for TEM use, presentation of patients with a history of TEM use, ocular complications following TEM use, the pathway to blindness with TEM use, economic burden, and prevention were considered in the review. The prevalence of TEM use was 15.5%, and the common determinants included low socioeconomic status, rural residence, poor access to conventional eye care, and cultural beliefs. The indications for the use of these medications included blurring of vision, red eyes, ocular pain, and itching. Patients who used TEMs presented with various levels of visual impairment (14.5% and 13.1%, respectively, for moderate and severe visual impairment), and 51.3% were reported blind at presentation. The common complications of these agents were corneal scars (opacities), staphylomas, endophthalmitis and panophthalmitis, corneal ulcers and perforations, uveitis, band and bullous keratopathies, complicated cataracts, subluxated lens, and descemetoceles. Conclusion: The prevalence of TEM use, visual impairment, and blindness arising from it is high in Nigeria. The ocular morbidities that follow TEM use constitute a significant burden (economic and otherwise) on eye care delivery in the country. A multipronged approach by stakeholders is required to mitigate the enablers of TEM practice in Nigeria. Furthermore, where there are complications, prompt referral to an ophthalmologist is advocated as they are well-equipped to provide the most appropriate management.","author":[{"dropping-particle":"","family":"Nathaniel","given":"Godswill Inye","non-dropping-particle":"","parse-names":false,"suffix":""},{"dropping-particle":"","family":"Eze","given":"Ugochukwu Anthony","non-dropping-particle":"","parse-names":false,"suffix":""}],"container-title":"Global Journal of Cataract Surgery and Research in Ophthalmology","id":"ITEM-1","issue":"1","issued":{"date-parts":[["2024","5","30"]]},"page":"34-42","publisher":"Scientific Scholar","title":"Harmful traditional eye practices in Nigeria and its burden on eye care: A review of literature","type":"article-journal","volume":"3"},"uris":["http://www.mendeley.com/documents/?uuid=fb37b92d-6a45-3d80-af48-9799c0c77737"]}],"mendeley":{"formattedCitation":"&lt;sup&gt;[2]&lt;/sup&gt;","plainTextFormattedCitation":"[2]","previouslyFormattedCitation":"&lt;sup&gt;[2]&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[2]</w:t>
      </w:r>
      <w:r w:rsidRPr="00950924">
        <w:rPr>
          <w:rFonts w:ascii="Garamond" w:hAnsi="Garamond"/>
          <w:bCs/>
          <w:iCs/>
          <w:sz w:val="20"/>
          <w:szCs w:val="20"/>
        </w:rPr>
        <w:fldChar w:fldCharType="end"/>
      </w:r>
      <w:r w:rsidRPr="00950924">
        <w:rPr>
          <w:rFonts w:ascii="Garamond" w:hAnsi="Garamond"/>
          <w:bCs/>
          <w:iCs/>
          <w:sz w:val="20"/>
          <w:szCs w:val="20"/>
        </w:rPr>
        <w:t xml:space="preserve"> was blurring of vision. Another study reported inflammatory symptoms as the commonest indication for TEM use.</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{"citationItems":[{"id":"ITEM-1","itemData":{"DOI":"10.1177/22799036241243267","ISSN":"22799036","PMID":"38577243","abstract":"Background: Traditional eye medicine (TEM) is becoming more widely used across the world. Depending on the drugs used, TEM usage can be considered harmful or innocuous. The therapy may induce infection or irreparable blindness in the already injured eye. The aim of the study was to determine the proportion of traditional eye medicine practices and associated factors among adult ophthalmic patients attending ophthalmic clinics in the governmental hospitals in the West Bank. Design and methods: A cross-sectional study conducted on 300 patients. The data was collected using a structured, self-administered questionnaire. Results: The results of the study revealed that 65.7% of people use TEM. The most common symptoms that necessitated the use of traditional eye practice were inflammatory symptoms of the eye (49.2%), blurred vision (15.7%), and allergic conjunctivitis (10.7%). The most common TEM used was tea (34.0%), followed by herbal products (25.4%) and vegetable slices (potato, cucumber, and onion) (14.7%). The most traditional eye treatment was the topical route (92.9%). The majority of prescribers of traditional eye practice were traditional healers (48.7%). Furthermore, the current study found that occupation and the income were predictors of using traditional eye practice among ophthalmic patients attending ophthalmic clinics in selected West Bank hospitals. Conclusion: The proportion of traditional eye medicine practice was high among ophthalmic patients in the West Bank. The predictors of using traditional eye treatment were occupation and the income. The most common TEM used was tea, followed by herbal products and vegetable slices (potato, cucumber, and onion).","author":[{"dropping-particle":"","family":"Atawi","given":"Raghda","non-dropping-particle":"","parse-names":false,"suffix":""},{"dropping-particle":"","family":"Ayed","given":"Ahmad","non-dropping-particle":"","parse-names":false,"suffix":""},{"dropping-particle":"","family":"Batran","given":"Ahmad","non-dropping-particle":"","parse-names":false,"suffix":""}],"container-title":"Journal of Public Health Research","id":"ITEM-1","issue":"2","issued":{"date-parts":[["2024","4","1"]]},"page":"22799036241243267","publisher":"SAGE Publications Ltd","title":"Traditional eye medicine practice and its determinant factors among ophthalmic patients in the West Bank","type":"article-journal","volume":"13"},"uris":["http://www.mendeley.com/documents/?uuid=8a4fed3b-f2a6-3689-9474-54fc85c0e645"]}],"mendeley":{"formattedCitation":"&lt;sup&gt;[1]&lt;/sup&gt;","plainTextFormattedCitation":"[1]","previouslyFormattedCitation":"&lt;sup&gt;[1]&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[1]</w:t>
      </w:r>
      <w:r w:rsidRPr="00950924">
        <w:rPr>
          <w:rFonts w:ascii="Garamond" w:hAnsi="Garamond"/>
          <w:bCs/>
          <w:iCs/>
          <w:sz w:val="20"/>
          <w:szCs w:val="20"/>
        </w:rPr>
        <w:fldChar w:fldCharType="end"/>
      </w:r>
      <w:r w:rsidRPr="00950924">
        <w:rPr>
          <w:rFonts w:ascii="Garamond" w:hAnsi="Garamond"/>
          <w:bCs/>
          <w:iCs/>
          <w:sz w:val="20"/>
          <w:szCs w:val="20"/>
        </w:rPr>
        <w:t xml:space="preserve"> These differences may be due to age differences of the participants studied and the occurrence of certain diseases more commonly among different age groups.</w:t>
      </w:r>
    </w:p>
    <w:p w14:paraId="5569153F"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Low educational attainment has been identified as one of the determinants of use of TEM.</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{"citationItems":[{"id":"ITEM-1","itemData":{"DOI":"10.1186/1472-6882-9-40","ISSN":"14726882","PMID":"19852826","abstract":"Background: This study set out to determine the incidence, socio-demographic, and clinical correlates of Traditional Eye Medicine (TEM) use in a population of newly presenting ophthalmic outpatients attending a tertiary eye care centre in south-eastern Nigeria. Methods: In a comparative cross-sectional survey at the eye clinic of the University of Nigeria Teaching Hospital (UNTH), Enugu, between August 2004 - July 2006, all newly presenting ophthalmic outpatients were recruited. Participants' socio-demographic and clinical data and profile of TEM use were obtained from history and examination of each participant and entered into a pretested questionnaire and proforma. Participants were subsequently categorized into TEM- users and non-users; intra-group analysis yielded proportions, frequencies, and percentages while chi-square test was used for inter-group comparisons at P = 0.01, df = 1. Results: Of the 2,542 (males, 48.1%; females, 51.9%) participants, 149 (5.9%) (males, 45%; females, 55%) used TEM for their current eye disease. The TEMs used were chemical substances (57.7%), plant products (37.7%), and animal products (4.7%). They were more often prescribed by non-traditional (66.4%) than traditional (36.9%) medicine practitioners. TEMs were used on account of vision loss (58.5%), ocular itching (25.4%) and eye discharge (3.8%). Reported efficacy from previous users (67.1%) and belief in potency (28.2%) were the main reasons for using TEM. Civil servants (20.1%), farmers (17.7%), and traders (14.1%) were the leading users of TEM. TEM use was significantly associated with younger age (p &lt; 0.01), being married (p &lt; 0.01), rural residence (p &lt; 0.01), ocular anterior segment disease (p &lt; 0.01), delayed presentation (p &lt; 0.01), low presenting visual acuity (p &lt; 0.01), and co-morbid chronic medical disease (p &lt; 0.01), but not with gender (p = 0.157), and educational status (p = 0.115). Conclusion: The incidence of TEM use among new ophthalmic outpatients at UNTH is low. The reasons for TEM use are amenable to positive change through enhanced delivery of promotive, preventive, and curative public eye care services. This has implications for eye care planners and implementers. To reverse the trend, we suggest strengthening of eye care programmes, even distribution of eye care resources, active collaboration with orthodox eye care providers and traditional medical practitioners, and intensification of research efforts into the pharmacology of TEMs. © 2009 Eze…","author":[{"dropping-particle":"","family":"Eze","given":"Boniface I.","non-dropping-particle":"","parse-names":false,"suffix":""},{"dropping-particle":"","family":"Chuka-Okosa","given":"Chimdi M.","non-dropping-particle":"","parse-names":false,"suffix":""},{"dropping-particle":"","family":"Uche","given":"Judith N.","non-dropping-particle":"","parse-names":false,"suffix":""}],"container-title":"BMC Complementary and Alternative Medicine","id":"ITEM-1","issued":{"date-parts":[["2009","10","24"]]},"page":"40","publisher":"BioMed Central Ltd.","title":"Traditional eye medicine use by newly presenting ophthalmic patients to a teaching hospital in south-eastern Nigeria: socio-demographic and clinical correlates","type":"article-journal","volume":"9"},"uris":["http://www.mendeley.com/documents/?uuid=c5949b26-85ef-369d-8919-e5c8ccd78def"]},{"id":"ITEM-2","itemData":{"DOI":"10.60787/PHMJ.V11I2.142","ISSN":"0795-3038","abstract":"Introduction: The perceived high cost of eye care services has been implicated as one of the reasons for the use of traditional eye medications (TEMs) in the country. Other factors including distance, tradition, ignorance, and failure of medical treatment among others have also been documented as determinants of TEM use. TEMs constitute a wide range of unorthodox therapies utilized for treatment of ocular disorders. They have been reported to have no beneficial effect rather causing more harm than good.\nAim: This study sought to determine the prevalence, types, and ocular indications for TEM use in the study population.\nMethods: This was a cross-sectional study in which a structured questionnaire was used to collect relevant data from consecutive patients attending the eye clinic during the study.\nResults: At a prevalence of 15.8%, the highest use of TEM was noted among artisans, those in the seventh decade of life, with low level of education, ocular complaints of poor vision, and illness of &amp;lt;1 year duration. Its use though high, was not significantly associated with age, sex, education, occupation and illness duration. Roots and herbs were the most common types of TEM used.\nConclusion: There was a high prevalence of use of TEM in this study. The deleterious effect of its use is known and has been reported in literature. Education and enlightenment of the public are needed and highly recommended.","author":[{"dropping-particle":"","family":"Achigbu","given":"Eberechukwu Ogbeanu","non-dropping-particle":"","parse-names":false,"suffix":""},{"dropping-particle":"","family":"Achigbu","given":"Kingsley Ihedioha","non-dropping-particle":"","parse-names":false,"suffix":""}],"container-title":"Port Harcourt Medical Journal","id":"ITEM-2","issue":"2","issued":{"date-parts":[["2017","6","1"]]},"page":"79-83","title":"Traditional eye medicine use among ophthalmic patients attending a secondary health care center in Southeast Nigeria","type":"article-journal","volume":"11"},"uris":["http://www.mendeley.com/documents/?uuid=544d4cce-5381-3efc-9398-51e71c522208"]},{"id":"ITEM-3","itemData":{"DOI":"10.25259/GJCSRO_29_2023","ISSN":"2835-4974","abstract":"Background/Aim: The use of traditional eye medication (TEM) is an age-long practice whose negative effects on eye health have been well documented. TEM involves the application of different harmful preparations to the eye as a form of treatment. This article is aimed at highlighting the burden of harmful traditional practices on eye care in Nigeria. Methodology: A review of available literature was conducted to summarize the different types of harmful traditional eye practices in Nigeria, including the many different preparations used. Prevalence of harmful traditional practices, determinants, burden in Nigeria. Issues relating to determinants, prevalence, indications for TEM use, presentation of patients with a history of TEM use, ocular complications following TEM use, the pathway to blindness with TEM use, economic burden, and prevention were considered in the review. The prevalence of TEM use was 15.5%, and the common determinants included low socioeconomic status, rural residence, poor access to conventional eye care, and cultural beliefs. The indications for the use of these medications included blurring of vision, red eyes, ocular pain, and itching. Patients who used TEMs presented with various levels of visual impairment (14.5% and 13.1%, respectively, for moderate and severe visual impairment), and 51.3% were reported blind at presentation. The common complications of these agents were corneal scars (opacities), staphylomas, endophthalmitis and panophthalmitis, corneal ulcers and perforations, uveitis, band and bullous keratopathies, complicated cataracts, subluxated lens, and descemetoceles. Conclusion: The prevalence of TEM use, visual impairment, and blindness arising from it is high in Nigeria. The ocular morbidities that follow TEM use constitute a significant burden (economic and otherwise) on eye care delivery in the country. A multipronged approach by stakeholders is required to mitigate the enablers of TEM practice in Nigeria. Furthermore, where there are complications, prompt referral to an ophthalmologist is advocated as they are well-equipped to provide the most appropriate management.","author":[{"dropping-particle":"","family":"Nathaniel","given":"Godswill Inye","non-dropping-particle":"","parse-names":false,"suffix":""},{"dropping-particle":"","family":"Eze","given":"Ugochukwu Anthony","non-dropping-particle":"","parse-names":false,"suffix":""}],"container-title":"Global Journal of Cataract Surgery and Research in Ophthalmology","id":"ITEM-3","issue":"1","issued":{"date-parts":[["2024","5","30"]]},"page":"34-42","publisher":"Scientific Scholar","title":"Harmful traditional eye practices in Nigeria and its burden on eye care: A review of literature","type":"article-journal","volume":"3"},"uris":["http://www.mendeley.com/documents/?uuid=fb37b92d-6a45-3d80-af48-9799c0c77737"]},{"id":"ITEM-4","itemData":{"ISSN":"2276-6944","PMID":"28856124","abstract":"BACKGROUND The use of traditional eye medication is still practised in some communities in Nigeria. AIM To assess the determinants of the use of traditional eye medication (TEM) by adults in Ekiadolor community. METHOD A descriptive cross-sectional study on the determinants of the use of traditional eye medication among adults was done between the months of September and November 2011 in Ekiadolor community in Edo state, Nigeria. RESULTS Out of the 430 participants in this study, 57.2% were females and 42.8% males. Majority of the respondents (92.1%) knew about TEM. The prevalence of the use of TEM was 48.7%. Affordability (21.8%) was the main reason for the use of TEM. The male gender, persons of low socio economic class and people that lacked formal education were more likely to use TEM (p=0.001). CONCLUSION The determinants of the use of traditional eye medication in this community are affordability, low socio economic status and lack of formal education. Formal education is of great importance, as this will go a long way in addressing the issues directly relating to the use of traditional eye medication in our communities.","author":[{"dropping-particle":"","family":"Kayoma","given":"D H","non-dropping-particle":"","parse-names":false,"suffix":""},{"dropping-particle":"","family":"Ukponmwan","given":"C U","non-dropping-particle":"","parse-names":false,"suffix":""}],"container-title":"Journal of the West African College of Surgeons","id":"ITEM-4","issue":"3","issued":{"date-parts":[["2016"]]},"page":"49","title":"Determinants of the Use of Traditional Eye Medication in a Semi-Urban Community in Southern Nigeria","type":"article-journal","volume":"6"},"uris":["http://www.mendeley.com/documents/?uuid=15b55095-4e96-388c-b1f8-f10bc90be2f3"]}],"mendeley":{"formattedCitation":"&lt;sup&gt;[2,4,10,14]&lt;/sup&gt;","plainTextFormattedCitation":"[2,4,10,14]","previouslyFormattedCitation":"&lt;sup&gt;[2,4,11,15]&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[2,4,10,14]</w:t>
      </w:r>
      <w:r w:rsidRPr="00950924">
        <w:rPr>
          <w:rFonts w:ascii="Garamond" w:hAnsi="Garamond"/>
          <w:bCs/>
          <w:iCs/>
          <w:sz w:val="20"/>
          <w:szCs w:val="20"/>
        </w:rPr>
        <w:fldChar w:fldCharType="end"/>
      </w:r>
      <w:r w:rsidRPr="00950924">
        <w:rPr>
          <w:rFonts w:ascii="Garamond" w:hAnsi="Garamond"/>
          <w:bCs/>
          <w:iCs/>
          <w:sz w:val="20"/>
          <w:szCs w:val="20"/>
        </w:rPr>
        <w:t xml:space="preserve"> In this study, TEM use was also found more among mothers who had lower educational attainment. This suggests the importance of female education and its positive influence on child eye health and eye health choices. It is known that more educated mothers tend to have better knowledge, attitudes, and adherence to good eye </w:t>
      </w:r>
      <w:r w:rsidRPr="00950924">
        <w:rPr>
          <w:rFonts w:ascii="Garamond" w:hAnsi="Garamond"/>
          <w:bCs/>
          <w:iCs/>
          <w:sz w:val="20"/>
          <w:szCs w:val="20"/>
        </w:rPr>
        <w:t>health information and understanding of eye conditions of their children, as well as a higher likelihood of seeking eye care services for their children.</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{"citationItems":[{"id":"ITEM-1","itemData":{"DOI":"10.7759/CUREUS.48044","ISSN":"2168-8184","PMID":"38034266","abstract":"&lt;h4&gt;Background&lt;/h4&gt;Visual impairment and blindness have a long-term impact on children. Common causes include refractive error, amblyopia, and cataracts, all of which are preventable.&lt;h4&gt;Objectives&lt;/h4&gt;This study aims to evaluate the knowledge, attitude, and practice of parents regarding children's eye care in Al-Qunfudah governorate, Saudi Arabia.&lt;h4&gt;Methods&lt;/h4&gt;A cross-sectional study was carried out on a convenience sample of 403 parents residing in the governorate of Al-Qunfudah. Data were gathered using a validated, self-administered online questionnaire that required participants' consent and ensured data confidentiality. IBM SPSS Statistics for Windows, Version 26.0 (Released 2019; IBM Corp., Armonk, New York, United States) was used to do the statistical analysis of the data.&lt;h4&gt;Results&lt;/h4&gt;This study included 403 participants; 41.2% of them were 36-45 years old, 75.9% were female, and 88.8% were married. Most of the participants had had their children undergo eye examinations (65%). A positive attitude about child eye care among the participants was observed in 48.9% of them, while the level of knowledge about eye care and its regular examinations was poor in 60% of the study sample. A significant positive correlation was detected between participants' attitudes and knowledge scores about the eye care of their children (r = 0.238, p-value = &lt;0.001). Older adults (P = 0.004), those with employment (P = 0.004), and those with a history of children suffering from eye problems (P = 0.018) are associated with a positive attitude, while better knowledge is associated with the parent's age (P = 0.007) and higher education level (P = 0.047).&lt;h4&gt;Conclusion&lt;/h4&gt;The knowledge and attitude of the parents regarding their children's eye care were suboptimal, and the main reason for conducting eye examinations on their children was the presence of active eye disease and a symptomatic child. Positive attitudes were more prevalent among those aged 36-45 years, employed, and with a higher number of children with eye problems. Those in the age group of 36-45 who had a bachelor's degree were associated with greater knowledge. There is an urgent need to educate parents about routine and recommended eye screening. Family physicians should conduct opportunistic eye screenings for children who attend primary healthcare facilities and provide parents with educational materials about common eye disorders and children's eye care.","author":[{"dropping-particle":"","family":"Alkalash","given":"Safa H","non-dropping-particle":"","parse-names":false,"suffix":""},{"dropping-particle":"","family":"Alsayed","given":"Haneen Y","non-dropping-particle":"","parse-names":false,"suffix":""},{"dropping-particle":"","family":"Alamshani","given":"Taif k","non-dropping-particle":"","parse-names":false,"suffix":""},{"dropping-particle":"","family":"Almarhabi","given":"Bashayer A","non-dropping-particle":"","parse-names":false,"suffix":""},{"dropping-particle":"","family":"Alsayed","given":"Khadijah N","non-dropping-particle":"","parse-names":false,"suffix":""},{"dropping-particle":"","family":"Alsayed","given":"Ghady M","non-dropping-particle":"","parse-names":false,"suffix":""},{"dropping-particle":"","family":"Alqarni","given":"Raghad S","non-dropping-particle":"","parse-names":false,"suffix":""},{"dropping-particle":"","family":"Alkinani","given":"Amirah I","non-dropping-particle":"","parse-names":false,"suffix":""},{"dropping-particle":"","family":"Alsharif","given":"Amirah R","non-dropping-particle":"","parse-names":false,"suffix":""},{"dropping-particle":"","family":"Aljohani","given":"Amal A","non-dropping-particle":"","parse-names":false,"suffix":""},{"dropping-particle":"","family":"Alkudaysi","given":"Fuad M","non-dropping-particle":"","parse-names":false,"suffix":""}],"container-title":"Cureus","id":"ITEM-1","issue":"10","issued":{"date-parts":[["2023","10","31"]]},"publisher":"Cureus","title":"Knowledge, Attitude, and Practice of Parents Regarding Children's Eye Care in Al-Qunfudah Governorate, Saudi Arabia","type":"article-journal","volume":"15"},"uris":["http://www.mendeley.com/documents/?uuid=1f0cfc62-76a5-354f-85a6-d3c480cb6b04"]},{"id":"ITEM-2","itemData":{"ISSN":"1993-7288","PMID":"19888363","author":[{"dropping-particle":"","family":"Kothari","given":"Gopa","non-dropping-particle":"","parse-names":false,"suffix":""}],"container-title":"Community Eye Health","id":"ITEM-2","issue":"70","issued":{"date-parts":[["2009","6"]]},"page":"20","title":"Working with women to improve child and community eye health","type":"article-journal","volume":"22"},"uris":["http://www.mendeley.com/documents/?uuid=4f32feb1-b3e9-3623-a72b-5a901da3b6ce"]}],"mendeley":{"formattedCitation":"&lt;sup&gt;[6,24]&lt;/sup&gt;","plainTextFormattedCitation":"[6,24]","previouslyFormattedCitation":"&lt;sup&gt;[7,25]&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[6,24]</w:t>
      </w:r>
      <w:r w:rsidRPr="00950924">
        <w:rPr>
          <w:rFonts w:ascii="Garamond" w:hAnsi="Garamond"/>
          <w:bCs/>
          <w:iCs/>
          <w:sz w:val="20"/>
          <w:szCs w:val="20"/>
        </w:rPr>
        <w:fldChar w:fldCharType="end"/>
      </w:r>
    </w:p>
    <w:p w14:paraId="5651F168" w14:textId="6B776CD4" w:rsidR="004C6160" w:rsidRDefault="00950924" w:rsidP="00950924">
      <w:pPr>
        <w:spacing w:line="259" w:lineRule="auto"/>
        <w:jc w:val="both"/>
        <w:rPr>
          <w:rFonts w:ascii="Garamond" w:hAnsi="Garamond"/>
          <w:bCs/>
          <w:iCs/>
          <w:sz w:val="20"/>
          <w:szCs w:val="20"/>
        </w:rPr>
      </w:pPr>
      <w:r w:rsidRPr="00950924">
        <w:rPr>
          <w:rFonts w:ascii="Garamond" w:hAnsi="Garamond"/>
          <w:bCs/>
          <w:iCs/>
          <w:sz w:val="20"/>
          <w:szCs w:val="20"/>
        </w:rPr>
        <w:t>In this study grandmothers were a prominent source of advice to mothers on for TEM use on children. In a study in Pakistan, grandmothers were also reported to exert strong influence on eye care practices.</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{"citationItems":[{"id":"ITEM-1","itemData":{"DOI":"10.53350/pjmhs22162374","ISSN":"2957-899X","abstract":"Objective: To document the methods of eye care and surma use in neonates.\nStudy Design: Prospective cross-sectional study\nPlace and Duration of Study: Fatima Memorial Hospital, Lahore Mayo Hospital Lahore and Sir Ganga Ram Hospital Lahore from 1st July 2020 to 31st December 2020.\nMethodology: Two thousand two hundred and thirty seven females (mostly mothers and female attendants) during ward rounds and outpatient clinics. The socio-demographic data, frequency of different eye care practices and Surma use in neonates were recorded.\nResults: Most participants aged between 20 to 40 years (70%), were urban (75.5%), and housewives (54%). Only 15% were illiterate, remaining having at least some schooling or more. 90% were married, though 52% (unmarried + married and no kid+ first-time mothers) did not have personal experience of baby care. Medical personnel had guided females and families in 49%. Of the counselling by relatives (15.2%), grandmothers were a common influence. For first eye care after birth, 67% would use clean water, 19.9% did not know, and 5.5% would use unsafe methods like antimicrobial agents or rose water. A majority (65%) of participants intended to use Surma, usually once a day, the commonest reason being beautification of eyes and face.&amp;nbsp; There was no correlation between eye care method, use of Surma, and socio-demographics.\nConclusion: We should prioritize the educations of our medical personnel as well the whole families and community.","author":[{"dropping-particle":"","family":"Anwar","given":"Zahid","non-dropping-particle":"","parse-names":false,"suffix":""},{"dropping-particle":"","family":"Anwar","given":"Shahid","non-dropping-particle":"","parse-names":false,"suffix":""},{"dropping-particle":"","family":"Akram","given":"Mateen","non-dropping-particle":"","parse-names":false,"suffix":""},{"dropping-particle":"","family":"Ahmad","given":"Sajad","non-dropping-particle":"","parse-names":false,"suffix":""},{"dropping-particle":"","family":"Pirzada","given":"Saima","non-dropping-particle":"","parse-names":false,"suffix":""},{"dropping-particle":"","family":"Kanwal","given":"Andleeb","non-dropping-particle":"","parse-names":false,"suffix":""}],"container-title":"Pakistan Journal of Medical &amp; Health Sciences","id":"ITEM-1","issue":"02","issued":{"date-parts":[["2022","3","26"]]},"page":"374-374","publisher":"Lahore Medical and Dental College","title":"Eye Care and Surma Use in Pakistani Neonates","type":"article-journal","volume":"16"},"uris":["http://www.mendeley.com/documents/?uuid=ec6470c5-4b9d-3a50-975e-8523578d63f2"]}],"mendeley":{"formattedCitation":"&lt;sup&gt;[25]&lt;/sup&gt;","plainTextFormattedCitation":"[25]","previouslyFormattedCitation":"&lt;sup&gt;[26]&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[25]</w:t>
      </w:r>
      <w:r w:rsidRPr="00950924">
        <w:rPr>
          <w:rFonts w:ascii="Garamond" w:hAnsi="Garamond"/>
          <w:bCs/>
          <w:iCs/>
          <w:sz w:val="20"/>
          <w:szCs w:val="20"/>
        </w:rPr>
        <w:fldChar w:fldCharType="end"/>
      </w:r>
      <w:r w:rsidRPr="00950924">
        <w:rPr>
          <w:rFonts w:ascii="Garamond" w:hAnsi="Garamond"/>
          <w:bCs/>
          <w:iCs/>
          <w:sz w:val="20"/>
          <w:szCs w:val="20"/>
        </w:rPr>
        <w:t xml:space="preserve"> This probably suggests that these practices are cultural and get handed down through successive family generations. Mothers and also grandmothers have key influence over children’s eye health and that of the community.</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{"citationItems":[{"id":"ITEM-1","itemData":{"ISSN":"1993-7288","PMID":"19888363","author":[{"dropping-particle":"","family":"Kothari","given":"Gopa","non-dropping-particle":"","parse-names":false,"suffix":""}],"container-title":"Community Eye Health","id":"ITEM-1","issue":"70","issued":{"date-parts":[["2009","6"]]},"page":"20","title":"Working with women to improve child and community eye health","type":"article-journal","volume":"22"},"uris":["http://www.mendeley.com/documents/?uuid=4f32feb1-b3e9-3623-a72b-5a901da3b6ce"]}],"mendeley":{"formattedCitation":"&lt;sup&gt;[6]&lt;/sup&gt;","plainTextFormattedCitation":"[6]","previouslyFormattedCitation":"&lt;sup&gt;[7]&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[6]</w:t>
      </w:r>
      <w:r w:rsidRPr="00950924">
        <w:rPr>
          <w:rFonts w:ascii="Garamond" w:hAnsi="Garamond"/>
          <w:bCs/>
          <w:iCs/>
          <w:sz w:val="20"/>
          <w:szCs w:val="20"/>
        </w:rPr>
        <w:fldChar w:fldCharType="end"/>
      </w:r>
      <w:r w:rsidRPr="00950924">
        <w:rPr>
          <w:rFonts w:ascii="Garamond" w:hAnsi="Garamond"/>
          <w:bCs/>
          <w:iCs/>
          <w:sz w:val="20"/>
          <w:szCs w:val="20"/>
        </w:rPr>
        <w:t xml:space="preserve"> The role and influence of grandmothers on mothers could be harnessed for promotion of positive child eye health practices by involving grandmothers in eye health education and promotion strategies. Having eye health education on debunking of cultural myths, safe eye practices and eye health that is targeted at different generations of women could be beneficial.</w:t>
      </w:r>
    </w:p>
    <w:p w14:paraId="13C98782" w14:textId="662FE430"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The most common reason for TEM use among the mothers for their children was belief in their effectiveness. Up to 84.3% of patients studied in the West Bank believed that TEM are beneficial.</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{"citationItems":[{"id":"ITEM-1","itemData":{"DOI":"10.1177/22799036241243267","ISSN":"22799036","PMID":"38577243","abstract":"Background: Traditional eye medicine (TEM) is becoming more widely used across the world. Depending on the drugs used, TEM usage can be considered harmful or innocuous. The therapy may induce infection or irreparable blindness in the already injured eye. The aim of the study was to determine the proportion of traditional eye medicine practices and associated factors among adult ophthalmic patients attending ophthalmic clinics in the governmental hospitals in the West Bank. Design and methods: A cross-sectional study conducted on 300 patients. The data was collected using a structured, self-administered questionnaire. Results: The results of the study revealed that 65.7% of people use TEM. The most common symptoms that necessitated the use of traditional eye practice were inflammatory symptoms of the eye (49.2%), blurred vision (15.7%), and allergic conjunctivitis (10.7%). The most common TEM used was tea (34.0%), followed by herbal products (25.4%) and vegetable slices (potato, cucumber, and onion) (14.7%). The most traditional eye treatment was the topical route (92.9%). The majority of prescribers of traditional eye practice were traditional healers (48.7%). Furthermore, the current study found that occupation and the income were predictors of using traditional eye practice among ophthalmic patients attending ophthalmic clinics in selected West Bank hospitals. Conclusion: The proportion of traditional eye medicine practice was high among ophthalmic patients in the West Bank. The predictors of using traditional eye treatment were occupation and the income. The most common TEM used was tea, followed by herbal products and vegetable slices (potato, cucumber, and onion).","author":[{"dropping-particle":"","family":"Atawi","given":"Raghda","non-dropping-particle":"","parse-names":false,"suffix":""},{"dropping-particle":"","family":"Ayed","given":"Ahmad","non-dropping-particle":"","parse-names":false,"suffix":""},{"dropping-particle":"","family":"Batran","given":"Ahmad","non-dropping-particle":"","parse-names":false,"suffix":""}],"container-title":"Journal of Public Health Research","id":"ITEM-1","issue":"2","issued":{"date-parts":[["2024","4","1"]]},"page":"22799036241243267","publisher":"SAGE Publications Ltd","title":"Traditional eye medicine practice and its determinant factors among ophthalmic patients in the West Bank","type":"article-journal","volume":"13"},"uris":["http://www.mendeley.com/documents/?uuid=8a4fed3b-f2a6-3689-9474-54fc85c0e645"]}],"mendeley":{"formattedCitation":"&lt;sup&gt;[1]&lt;/sup&gt;","plainTextFormattedCitation":"[1]","previouslyFormattedCitation":"&lt;sup&gt;[1]&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[1]</w:t>
      </w:r>
      <w:r w:rsidRPr="00950924">
        <w:rPr>
          <w:rFonts w:ascii="Garamond" w:hAnsi="Garamond"/>
          <w:bCs/>
          <w:iCs/>
          <w:sz w:val="20"/>
          <w:szCs w:val="20"/>
        </w:rPr>
        <w:fldChar w:fldCharType="end"/>
      </w:r>
      <w:r w:rsidRPr="00950924">
        <w:rPr>
          <w:rFonts w:ascii="Garamond" w:hAnsi="Garamond"/>
          <w:bCs/>
          <w:iCs/>
          <w:sz w:val="20"/>
          <w:szCs w:val="20"/>
        </w:rPr>
        <w:t xml:space="preserve"> This could be worrisome, considering that many of these substances have been found to have extreme PH levels and high microbial content which are dangerous to the eyes.</w:t>
      </w:r>
      <w:r w:rsidRPr="00950924">
        <w:rPr>
          <w:rFonts w:ascii="Garamond" w:hAnsi="Garamond"/>
          <w:bCs/>
          <w:iCs/>
          <w:sz w:val="20"/>
          <w:szCs w:val="20"/>
          <w:vertAlign w:val="superscript"/>
        </w:rPr>
        <w:fldChar w:fldCharType="begin" w:fldLock="1"/>
      </w:r>
      <w:r w:rsidRPr="00950924">
        <w:rPr>
          <w:rFonts w:ascii="Garamond" w:hAnsi="Garamond"/>
          <w:bCs/>
          <w:iCs/>
          <w:sz w:val="20"/>
          <w:szCs w:val="20"/>
          <w:vertAlign w:val="superscript"/>
        </w:rPr>
        <w:instrText>ADDIN CSL_CITATION {"citationItems":[{"id":"ITEM-1","itemData":{"DOI":"10.4103/NJCP.NJCP_201_18","ISSN":"1119-3077","PMID":"30417853","abstract":"Background: Cataract, glaucoma, and conjunctivitis are common causes of ocular morbidity in Nigeria. A major obstacle in reducing the burden of ocular morbidity in rural areas is access to eye care services. Up to 80% of the population in developing countries use traditional medications for their primary healthcare needs because they are accessible, available, and affordable. The aim of this study is to evaluate the content and cost of commercialized traditional medications used in the treatment of common eye conditions in Nigeria. Patients and Methods: All the registered traditional healers (THs) at an International Trade Fair in Enugu who treated eye problems were identified. Data on their location and scope of their practice were collected by the researchers. Proxy patients consulted THs in the trade fair with simulated cataract, glaucoma, and bacterial conjunctivitis, and treatment was sought. Medication for the treatment of the simulated disorders was paid for and procured. The mode of administration and the cost of the drugs were recorded by proxy patients. Each medication was labeled with a code and sent to the laboratories of the National Agency for Drug Administration and Control for analysis. Data were entered into a database on Microsoft Access and transferred to STATA V12.1 (StataCorp) for analysis. Results: Cataract was treated by 87.5% of all the traditional eye healers interviewed. A total of 32 samples were collected and analyzed. These comprised mainly oral (53.1%) and topical traditional medications (43.8%). The pH of the topical samples ranged from 3.5 to 10, while the mean microbiological load per topical solution was 3.3 × 104 cfu/mL ± 0.96. The cost of treatment of cataract ranged from 4 to 70 USD. Conclusion: The content of the majority of the samples of traditional eye medications in this study had high extremes of pH and/or had a high microbial content. The practice of THs should be regulated.","author":[{"dropping-particle":"","family":"Aghaji","given":"A. E.","non-dropping-particle":"","parse-names":false,"suffix":""},{"dropping-particle":"V.","family":"Ezeome","given":"I.","non-dropping-particle":"","parse-names":false,"suffix":""},{"dropping-particle":"","family":"Ezeome","given":"E. R.","non-dropping-particle":"","parse-names":false,"suffix":""}],"container-title":"Nigerian journal of clinical practice","id":"ITEM-1","issue":"11","issued":{"date-parts":[["2018","11","1"]]},"page":"1514-1519","publisher":"Niger J Clin Pract","title":"Evaluation of content and cost of traditional eye medication in a resource-poor country - Implications for eye care practice and policy","type":"article-journal","volume":"21"},"uris":["http://www.mendeley.com/documents/?uuid=775b0c27-ff13-3376-9cee-84d3b4627919"]}],"mendeley":{"formattedCitation":"&lt;sup&gt;[26]&lt;/sup&gt;","plainTextFormattedCitation":"[26]","previouslyFormattedCitation":"&lt;sup&gt;[27]&lt;/sup&gt;"},"properties":{"noteIndex":0},"schema":"https://github.com/citation-style-language/schema/raw/master/csl-citation.json"}</w:instrText>
      </w:r>
      <w:r w:rsidRPr="00950924">
        <w:rPr>
          <w:rFonts w:ascii="Garamond" w:hAnsi="Garamond"/>
          <w:bCs/>
          <w:iCs/>
          <w:sz w:val="20"/>
          <w:szCs w:val="20"/>
          <w:vertAlign w:val="superscript"/>
        </w:rPr>
        <w:fldChar w:fldCharType="separate"/>
      </w:r>
      <w:r w:rsidRPr="00950924">
        <w:rPr>
          <w:rFonts w:ascii="Garamond" w:hAnsi="Garamond"/>
          <w:bCs/>
          <w:iCs/>
          <w:sz w:val="20"/>
          <w:szCs w:val="20"/>
          <w:vertAlign w:val="superscript"/>
        </w:rPr>
        <w:t>[26]</w:t>
      </w:r>
      <w:r w:rsidRPr="00950924">
        <w:rPr>
          <w:rFonts w:ascii="Garamond" w:hAnsi="Garamond"/>
          <w:bCs/>
          <w:iCs/>
          <w:sz w:val="20"/>
          <w:szCs w:val="20"/>
        </w:rPr>
        <w:fldChar w:fldCharType="end"/>
      </w:r>
      <w:r w:rsidRPr="00950924">
        <w:rPr>
          <w:rFonts w:ascii="Garamond" w:hAnsi="Garamond"/>
          <w:bCs/>
          <w:iCs/>
          <w:sz w:val="20"/>
          <w:szCs w:val="20"/>
        </w:rPr>
        <w:t xml:space="preserve"> The effectiveness of these TEM have not been scientifically proven. However, it is probable that some conditions people use them for could be self-limiting and relief may not really be due to the TEM themselves. This use of these TEM could cause delay in seeking prompt medical attention and may worsen the existing eye condition. Also, many children of the mothers studied are preverbal who cannot express themselves on relief or otherwise, suggesting that the claim of effectiveness may not be fully reliable.</w:t>
      </w:r>
    </w:p>
    <w:p w14:paraId="457D6029" w14:textId="77777777" w:rsidR="004C6160" w:rsidRDefault="004C6160" w:rsidP="00950924">
      <w:pPr>
        <w:spacing w:line="259" w:lineRule="auto"/>
        <w:jc w:val="both"/>
        <w:rPr>
          <w:rFonts w:ascii="Garamond" w:hAnsi="Garamond"/>
          <w:b/>
          <w:iCs/>
          <w:sz w:val="20"/>
          <w:szCs w:val="20"/>
        </w:rPr>
      </w:pPr>
    </w:p>
    <w:p w14:paraId="35603F79" w14:textId="20A7192C" w:rsidR="00950924" w:rsidRPr="00950924" w:rsidRDefault="00950924" w:rsidP="00950924">
      <w:pPr>
        <w:spacing w:line="259" w:lineRule="auto"/>
        <w:jc w:val="both"/>
        <w:rPr>
          <w:rFonts w:ascii="Garamond" w:hAnsi="Garamond"/>
          <w:b/>
          <w:iCs/>
          <w:sz w:val="20"/>
          <w:szCs w:val="20"/>
        </w:rPr>
      </w:pPr>
      <w:r w:rsidRPr="00950924">
        <w:rPr>
          <w:rFonts w:ascii="Garamond" w:hAnsi="Garamond"/>
          <w:b/>
          <w:iCs/>
          <w:sz w:val="20"/>
          <w:szCs w:val="20"/>
        </w:rPr>
        <w:t>Limitations of the Study</w:t>
      </w:r>
    </w:p>
    <w:p w14:paraId="486FD61B" w14:textId="3F41B113"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The cross-sectional design of the study is limited by inability to establish causality between TEM use and other factors. The self-reported methods use may be affected by recall bias by participants due to passage of time. Considering that information being obtained is on a negative practice prone to stigma, there could also be social desirability bias where </w:t>
      </w:r>
      <w:r w:rsidR="00691BD8" w:rsidRPr="00950924">
        <w:rPr>
          <w:rFonts w:ascii="Garamond" w:hAnsi="Garamond"/>
          <w:bCs/>
          <w:iCs/>
          <w:sz w:val="20"/>
          <w:szCs w:val="20"/>
        </w:rPr>
        <w:t>participants</w:t>
      </w:r>
      <w:r w:rsidRPr="00950924">
        <w:rPr>
          <w:rFonts w:ascii="Garamond" w:hAnsi="Garamond"/>
          <w:bCs/>
          <w:iCs/>
          <w:sz w:val="20"/>
          <w:szCs w:val="20"/>
        </w:rPr>
        <w:t xml:space="preserve"> could probably attempt to understate their practice and respond in ways they deem acceptable to the researcher or to project a good self-image and avoid judgement. This could result in under-reporting. Furthermore, the study was conducted in only two secondary facilities in Onitsha, </w:t>
      </w:r>
      <w:r w:rsidRPr="00950924">
        <w:rPr>
          <w:rFonts w:ascii="Garamond" w:hAnsi="Garamond"/>
          <w:bCs/>
          <w:iCs/>
          <w:sz w:val="20"/>
          <w:szCs w:val="20"/>
        </w:rPr>
        <w:lastRenderedPageBreak/>
        <w:t>which could limit its generalizability. The study is also a hospital-based study and may not be extrapolated to the general population.</w:t>
      </w:r>
    </w:p>
    <w:p w14:paraId="509CFE4C" w14:textId="77777777" w:rsidR="00135F12" w:rsidRDefault="00135F12" w:rsidP="00950924">
      <w:pPr>
        <w:spacing w:line="259" w:lineRule="auto"/>
        <w:jc w:val="both"/>
        <w:rPr>
          <w:rFonts w:ascii="Garamond" w:hAnsi="Garamond"/>
          <w:b/>
          <w:bCs/>
          <w:iCs/>
          <w:sz w:val="22"/>
          <w:szCs w:val="22"/>
        </w:rPr>
      </w:pPr>
    </w:p>
    <w:p w14:paraId="057598C9" w14:textId="4AE50FD3" w:rsidR="00950924" w:rsidRPr="00691BD8" w:rsidRDefault="00691BD8" w:rsidP="00950924">
      <w:pPr>
        <w:spacing w:line="259" w:lineRule="auto"/>
        <w:jc w:val="both"/>
        <w:rPr>
          <w:rFonts w:ascii="Garamond" w:hAnsi="Garamond"/>
          <w:b/>
          <w:bCs/>
          <w:iCs/>
          <w:sz w:val="22"/>
          <w:szCs w:val="22"/>
        </w:rPr>
      </w:pPr>
      <w:r w:rsidRPr="00691BD8">
        <w:rPr>
          <w:rFonts w:ascii="Garamond" w:hAnsi="Garamond"/>
          <w:b/>
          <w:bCs/>
          <w:iCs/>
          <w:sz w:val="22"/>
          <w:szCs w:val="22"/>
        </w:rPr>
        <w:t>CONCLUSION</w:t>
      </w:r>
    </w:p>
    <w:p w14:paraId="0B731BBB" w14:textId="77777777" w:rsidR="00950924" w:rsidRPr="00950924" w:rsidRDefault="00950924" w:rsidP="00950924">
      <w:pPr>
        <w:spacing w:line="259" w:lineRule="auto"/>
        <w:jc w:val="both"/>
        <w:rPr>
          <w:rFonts w:ascii="Garamond" w:hAnsi="Garamond"/>
          <w:bCs/>
          <w:iCs/>
          <w:sz w:val="20"/>
          <w:szCs w:val="20"/>
        </w:rPr>
      </w:pPr>
      <w:r w:rsidRPr="00950924">
        <w:rPr>
          <w:rFonts w:ascii="Garamond" w:hAnsi="Garamond"/>
          <w:bCs/>
          <w:iCs/>
          <w:sz w:val="20"/>
          <w:szCs w:val="20"/>
        </w:rPr>
        <w:t xml:space="preserve">The use of traditional eye medicines on children appears to be a common practice among mothers at these immunization clinics in Onitsha with low educational attainment is a key determinant. Increased eye health education activities with emphasis on basic eye health and hygiene, causes of eye infection, safe eye practices, dangers of TEM use and importance of seeking prompt medical attention is crucial for mothers attending immunization clinics. Integration of eye health education into immunization clinic programs is hereby recommended. </w:t>
      </w:r>
      <w:r w:rsidRPr="00950924">
        <w:rPr>
          <w:rFonts w:ascii="Garamond" w:hAnsi="Garamond"/>
          <w:bCs/>
          <w:iCs/>
          <w:sz w:val="20"/>
          <w:szCs w:val="20"/>
          <w:lang w:val="en-GB"/>
        </w:rPr>
        <w:t xml:space="preserve">Future interventions should incorporate culturally sensitive education targeting mothers and influential family members, particularly grandmothers, within immunization settings. Future research could be directed at gaining insight into maternal knowledge of the harmful effects of TEM, </w:t>
      </w:r>
      <w:r w:rsidRPr="00950924">
        <w:rPr>
          <w:rFonts w:ascii="Garamond" w:hAnsi="Garamond"/>
          <w:bCs/>
          <w:iCs/>
          <w:sz w:val="20"/>
          <w:szCs w:val="20"/>
        </w:rPr>
        <w:t>qualitative studies to understand perceptions and cultural beliefs underlying TEM use</w:t>
      </w:r>
      <w:r w:rsidRPr="00950924">
        <w:rPr>
          <w:rFonts w:ascii="Garamond" w:hAnsi="Garamond"/>
          <w:bCs/>
          <w:iCs/>
          <w:sz w:val="20"/>
          <w:szCs w:val="20"/>
          <w:lang w:val="en-GB"/>
        </w:rPr>
        <w:t xml:space="preserve"> and assessment of effectiveness maternal health educational intervention for child eye care. </w:t>
      </w:r>
    </w:p>
    <w:p w14:paraId="59FB9E10" w14:textId="77777777" w:rsidR="00950924" w:rsidRPr="00950924" w:rsidRDefault="00950924" w:rsidP="00950924">
      <w:pPr>
        <w:spacing w:line="259" w:lineRule="auto"/>
        <w:jc w:val="both"/>
        <w:rPr>
          <w:rFonts w:ascii="Garamond" w:hAnsi="Garamond"/>
          <w:bCs/>
          <w:iCs/>
          <w:sz w:val="20"/>
          <w:szCs w:val="20"/>
          <w:lang w:val="en-GB"/>
        </w:rPr>
      </w:pPr>
      <w:r w:rsidRPr="00950924">
        <w:rPr>
          <w:rFonts w:ascii="Garamond" w:hAnsi="Garamond"/>
          <w:bCs/>
          <w:iCs/>
          <w:sz w:val="20"/>
          <w:szCs w:val="20"/>
          <w:lang w:val="en-GB"/>
        </w:rPr>
        <w:t>Funding Statement: No grant was received from any funding agency in the public, commercial, or not-for-profit sectors for this research.</w:t>
      </w:r>
    </w:p>
    <w:p w14:paraId="5B6E5795" w14:textId="77777777" w:rsidR="00254073" w:rsidRDefault="00254073" w:rsidP="00950924">
      <w:pPr>
        <w:spacing w:line="259" w:lineRule="auto"/>
        <w:jc w:val="both"/>
        <w:rPr>
          <w:rFonts w:ascii="Garamond" w:hAnsi="Garamond"/>
          <w:b/>
          <w:iCs/>
          <w:sz w:val="20"/>
          <w:szCs w:val="20"/>
          <w:lang w:val="en-GB"/>
        </w:rPr>
      </w:pPr>
    </w:p>
    <w:p w14:paraId="026CBFF7" w14:textId="6900B6B6" w:rsidR="004C6160" w:rsidRPr="00254073" w:rsidRDefault="00254073" w:rsidP="00950924">
      <w:pPr>
        <w:spacing w:line="259" w:lineRule="auto"/>
        <w:jc w:val="both"/>
        <w:rPr>
          <w:rFonts w:ascii="Garamond" w:hAnsi="Garamond"/>
          <w:b/>
          <w:iCs/>
          <w:sz w:val="22"/>
          <w:szCs w:val="22"/>
          <w:lang w:val="en-GB"/>
        </w:rPr>
      </w:pPr>
      <w:r w:rsidRPr="00254073">
        <w:rPr>
          <w:rFonts w:ascii="Garamond" w:hAnsi="Garamond"/>
          <w:b/>
          <w:iCs/>
          <w:sz w:val="22"/>
          <w:szCs w:val="22"/>
          <w:lang w:val="en-GB"/>
        </w:rPr>
        <w:t>Declarations</w:t>
      </w:r>
    </w:p>
    <w:p w14:paraId="00DCB6B9" w14:textId="52F6D1B4" w:rsidR="00950924" w:rsidRDefault="00950924" w:rsidP="00950924">
      <w:pPr>
        <w:spacing w:line="259" w:lineRule="auto"/>
        <w:jc w:val="both"/>
        <w:rPr>
          <w:rFonts w:ascii="Garamond" w:hAnsi="Garamond"/>
          <w:bCs/>
          <w:iCs/>
          <w:sz w:val="20"/>
          <w:szCs w:val="20"/>
        </w:rPr>
      </w:pPr>
      <w:r w:rsidRPr="00950924">
        <w:rPr>
          <w:rFonts w:ascii="Garamond" w:hAnsi="Garamond"/>
          <w:b/>
          <w:iCs/>
          <w:sz w:val="20"/>
          <w:szCs w:val="20"/>
          <w:lang w:val="en-GB"/>
        </w:rPr>
        <w:t>Conflict of Interest Statement</w:t>
      </w:r>
      <w:r w:rsidRPr="00950924">
        <w:rPr>
          <w:rFonts w:ascii="Garamond" w:hAnsi="Garamond"/>
          <w:bCs/>
          <w:iCs/>
          <w:sz w:val="20"/>
          <w:szCs w:val="20"/>
          <w:lang w:val="en-GB"/>
        </w:rPr>
        <w:t xml:space="preserve">: </w:t>
      </w:r>
      <w:r w:rsidRPr="00950924">
        <w:rPr>
          <w:rFonts w:ascii="Garamond" w:hAnsi="Garamond"/>
          <w:bCs/>
          <w:iCs/>
          <w:sz w:val="20"/>
          <w:szCs w:val="20"/>
        </w:rPr>
        <w:t>The authors declare no conflicts of interest</w:t>
      </w:r>
    </w:p>
    <w:p w14:paraId="170271EB" w14:textId="4ECF87E6" w:rsidR="00691BD8" w:rsidRPr="00E34213" w:rsidRDefault="00691BD8" w:rsidP="00950924">
      <w:pPr>
        <w:spacing w:line="259" w:lineRule="auto"/>
        <w:jc w:val="both"/>
        <w:rPr>
          <w:rFonts w:ascii="Garamond" w:hAnsi="Garamond"/>
          <w:b/>
          <w:bCs/>
          <w:iCs/>
          <w:sz w:val="20"/>
          <w:szCs w:val="20"/>
        </w:rPr>
      </w:pPr>
      <w:r w:rsidRPr="00135F12">
        <w:rPr>
          <w:rFonts w:ascii="Garamond" w:hAnsi="Garamond"/>
          <w:b/>
          <w:bCs/>
          <w:i/>
          <w:sz w:val="20"/>
          <w:szCs w:val="20"/>
        </w:rPr>
        <w:t>Funding:</w:t>
      </w:r>
      <w:r>
        <w:rPr>
          <w:rFonts w:ascii="Garamond" w:hAnsi="Garamond"/>
          <w:b/>
          <w:bCs/>
          <w:iCs/>
          <w:sz w:val="20"/>
          <w:szCs w:val="20"/>
        </w:rPr>
        <w:t xml:space="preserve"> </w:t>
      </w:r>
      <w:r w:rsidR="00135F12" w:rsidRPr="00F77828">
        <w:rPr>
          <w:rFonts w:ascii="Garamond" w:hAnsi="Garamond" w:cs="Times New Roman"/>
          <w:sz w:val="20"/>
          <w:szCs w:val="20"/>
        </w:rPr>
        <w:t>The authors did not receive any external funding for this research</w:t>
      </w:r>
    </w:p>
    <w:p w14:paraId="4C8D70C9" w14:textId="22E59D78" w:rsidR="00950924" w:rsidRPr="00950924" w:rsidRDefault="00950924" w:rsidP="00950924">
      <w:pPr>
        <w:spacing w:line="259" w:lineRule="auto"/>
        <w:jc w:val="both"/>
        <w:rPr>
          <w:rFonts w:ascii="Garamond" w:hAnsi="Garamond"/>
          <w:bCs/>
          <w:iCs/>
          <w:sz w:val="20"/>
          <w:szCs w:val="20"/>
        </w:rPr>
      </w:pPr>
    </w:p>
    <w:p w14:paraId="2E5A7840" w14:textId="49F5FF9A" w:rsidR="00950924" w:rsidRPr="00950924" w:rsidRDefault="00691BD8" w:rsidP="00950924">
      <w:pPr>
        <w:spacing w:line="259" w:lineRule="auto"/>
        <w:jc w:val="both"/>
        <w:rPr>
          <w:rFonts w:ascii="Garamond" w:hAnsi="Garamond"/>
          <w:b/>
          <w:bCs/>
          <w:iCs/>
          <w:sz w:val="20"/>
          <w:szCs w:val="20"/>
        </w:rPr>
      </w:pPr>
      <w:r w:rsidRPr="00950924">
        <w:rPr>
          <w:rFonts w:ascii="Garamond" w:hAnsi="Garamond"/>
          <w:b/>
          <w:bCs/>
          <w:iCs/>
          <w:sz w:val="20"/>
          <w:szCs w:val="20"/>
        </w:rPr>
        <w:t>REFERENCES</w:t>
      </w:r>
    </w:p>
    <w:p w14:paraId="37EE03F6" w14:textId="77777777" w:rsidR="004C6160" w:rsidRPr="00135F12" w:rsidRDefault="00950924" w:rsidP="00135F12">
      <w:pPr>
        <w:ind w:hanging="284"/>
        <w:rPr>
          <w:rFonts w:ascii="Garamond" w:hAnsi="Garamond"/>
          <w:sz w:val="20"/>
          <w:szCs w:val="20"/>
          <w:lang w:val="en-GB"/>
        </w:rPr>
      </w:pPr>
      <w:r w:rsidRPr="00135F12">
        <w:rPr>
          <w:rFonts w:ascii="Garamond" w:hAnsi="Garamond"/>
          <w:sz w:val="20"/>
          <w:szCs w:val="20"/>
        </w:rPr>
        <w:fldChar w:fldCharType="begin" w:fldLock="1"/>
      </w:r>
      <w:r w:rsidRPr="00135F12">
        <w:rPr>
          <w:rFonts w:ascii="Garamond" w:hAnsi="Garamond"/>
          <w:sz w:val="20"/>
          <w:szCs w:val="20"/>
        </w:rPr>
        <w:instrText xml:space="preserve">ADDIN Mendeley Bibliography CSL_BIBLIOGRAPHY </w:instrText>
      </w:r>
      <w:r w:rsidRPr="00135F12">
        <w:rPr>
          <w:rFonts w:ascii="Garamond" w:hAnsi="Garamond"/>
          <w:sz w:val="20"/>
          <w:szCs w:val="20"/>
        </w:rPr>
        <w:fldChar w:fldCharType="separate"/>
      </w:r>
      <w:r w:rsidRPr="00135F12">
        <w:rPr>
          <w:rFonts w:ascii="Garamond" w:hAnsi="Garamond"/>
          <w:sz w:val="20"/>
          <w:szCs w:val="20"/>
          <w:lang w:val="en-GB"/>
        </w:rPr>
        <w:t xml:space="preserve">1. </w:t>
      </w:r>
      <w:r w:rsidRPr="00135F12">
        <w:rPr>
          <w:rFonts w:ascii="Garamond" w:hAnsi="Garamond"/>
          <w:sz w:val="20"/>
          <w:szCs w:val="20"/>
          <w:lang w:val="en-GB"/>
        </w:rPr>
        <w:tab/>
        <w:t>Atawi R, Ayed A, Batran A. Traditional eye medicine practice and its determinant factors among ophthalmic patients in the West Bank. J Public health Res [Internet] 2024 [cited 2026 Jan 8];13(2):22799036241243268. Available from: https://pmc.ncbi.nlm.nih.gov/articles/PMC10993683/</w:t>
      </w:r>
    </w:p>
    <w:p w14:paraId="28E6BE07" w14:textId="77777777"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 </w:t>
      </w:r>
      <w:r w:rsidRPr="00135F12">
        <w:rPr>
          <w:rFonts w:ascii="Garamond" w:hAnsi="Garamond"/>
          <w:sz w:val="20"/>
          <w:szCs w:val="20"/>
          <w:lang w:val="en-GB"/>
        </w:rPr>
        <w:tab/>
        <w:t>Nathaniel GI, Eze UA. Harmful traditional eye practices in Nigeria and its burden on eye care: A review of literature. Glob J Cataract Surg Res Ophthalmol [Internet] 2024 [cited 2026 Jan 9];3(1):34–42. Available from: https://www.gjcsro.com/harmful-traditional-eye-practices-in-nigeria-and-its-burden-on-eye-care-a-review-of-literature/</w:t>
      </w:r>
    </w:p>
    <w:p w14:paraId="66B01970" w14:textId="77777777"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3. </w:t>
      </w:r>
      <w:r w:rsidRPr="00135F12">
        <w:rPr>
          <w:rFonts w:ascii="Garamond" w:hAnsi="Garamond"/>
          <w:sz w:val="20"/>
          <w:szCs w:val="20"/>
          <w:lang w:val="en-GB"/>
        </w:rPr>
        <w:tab/>
        <w:t xml:space="preserve">Eticha BL, Assaye AK, Alemu HW. Prevalence of traditional eye medicine use and its associated factors </w:t>
      </w:r>
      <w:r w:rsidRPr="00135F12">
        <w:rPr>
          <w:rFonts w:ascii="Garamond" w:hAnsi="Garamond"/>
          <w:sz w:val="20"/>
          <w:szCs w:val="20"/>
          <w:lang w:val="en-GB"/>
        </w:rPr>
        <w:t>among adult ophthalmic patients in Gondar region of Ethiopia in 2020. Cogent Public Heal [Internet] 2023 [cited 2026 Jan 9];10(1). Available from: https://www.tandfonline.com/doi/pdf/10.1080/27707571.2022.2160581</w:t>
      </w:r>
    </w:p>
    <w:p w14:paraId="62C7C3F6" w14:textId="77777777"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4. </w:t>
      </w:r>
      <w:r w:rsidRPr="00135F12">
        <w:rPr>
          <w:rFonts w:ascii="Garamond" w:hAnsi="Garamond"/>
          <w:sz w:val="20"/>
          <w:szCs w:val="20"/>
          <w:lang w:val="en-GB"/>
        </w:rPr>
        <w:tab/>
        <w:t>Kayoma DH, Ukponmwan CU. Determinants of the Use of Traditional Eye Medication in a Semi-Urban Community in Southern Nigeria. J West African Coll Surg [Internet] 2016 [cited 2026 Mar 13];6(3):49. Available from: https://pmc.ncbi.nlm.nih.gov/articles/PMC5555722/</w:t>
      </w:r>
    </w:p>
    <w:p w14:paraId="65C91FD9" w14:textId="77777777"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5. </w:t>
      </w:r>
      <w:r w:rsidRPr="00135F12">
        <w:rPr>
          <w:rFonts w:ascii="Garamond" w:hAnsi="Garamond"/>
          <w:sz w:val="20"/>
          <w:szCs w:val="20"/>
          <w:lang w:val="en-GB"/>
        </w:rPr>
        <w:tab/>
        <w:t>Al-Ghadeer H, Al-Amry M. Ocular Complications Resulting from the Use of Traditional Herbal Medicine in Central Saudi Arabia: A Review. Middle East Afr J Ophthalmol [Internet] 2021 [cited 2026 Mar 13];28(2):131. Available from: https://pmc.ncbi.nlm.nih.gov/articles/PMC8547670/</w:t>
      </w:r>
    </w:p>
    <w:p w14:paraId="30402FAC" w14:textId="77777777"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6. </w:t>
      </w:r>
      <w:r w:rsidRPr="00135F12">
        <w:rPr>
          <w:rFonts w:ascii="Garamond" w:hAnsi="Garamond"/>
          <w:sz w:val="20"/>
          <w:szCs w:val="20"/>
          <w:lang w:val="en-GB"/>
        </w:rPr>
        <w:tab/>
        <w:t>Kothari G. Working with women to improve child and community eye health. Community Eye Heal [Internet] 2009 [cited 2026 Jan 19];22(70):20. Available from: https://pmc.ncbi.nlm.nih.gov/articles/PMC2760275/</w:t>
      </w:r>
    </w:p>
    <w:p w14:paraId="20BC2674" w14:textId="77777777"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7. </w:t>
      </w:r>
      <w:r w:rsidRPr="00135F12">
        <w:rPr>
          <w:rFonts w:ascii="Garamond" w:hAnsi="Garamond"/>
          <w:sz w:val="20"/>
          <w:szCs w:val="20"/>
          <w:lang w:val="en-GB"/>
        </w:rPr>
        <w:tab/>
        <w:t>Adamu A, Ango UM. Health</w:t>
      </w:r>
      <w:r w:rsidRPr="00135F12">
        <w:rPr>
          <w:rFonts w:ascii="Cambria Math" w:hAnsi="Cambria Math" w:cs="Cambria Math"/>
          <w:sz w:val="20"/>
          <w:szCs w:val="20"/>
          <w:lang w:val="en-GB"/>
        </w:rPr>
        <w:t>‑</w:t>
      </w:r>
      <w:r w:rsidRPr="00135F12">
        <w:rPr>
          <w:rFonts w:ascii="Garamond" w:hAnsi="Garamond"/>
          <w:sz w:val="20"/>
          <w:szCs w:val="20"/>
          <w:lang w:val="en-GB"/>
        </w:rPr>
        <w:t>seeking Behavior among Mothers of Under</w:t>
      </w:r>
      <w:r w:rsidRPr="00135F12">
        <w:rPr>
          <w:rFonts w:ascii="Cambria Math" w:hAnsi="Cambria Math" w:cs="Cambria Math"/>
          <w:sz w:val="20"/>
          <w:szCs w:val="20"/>
          <w:lang w:val="en-GB"/>
        </w:rPr>
        <w:t>‑</w:t>
      </w:r>
      <w:r w:rsidRPr="00135F12">
        <w:rPr>
          <w:rFonts w:ascii="Garamond" w:hAnsi="Garamond"/>
          <w:sz w:val="20"/>
          <w:szCs w:val="20"/>
          <w:lang w:val="en-GB"/>
        </w:rPr>
        <w:t>five Children in Sokoto Metropolis, Sokoto, Nigeria. Ann Afr Med [Internet] 2024 [cited 2026 Jan 9];23:335</w:t>
      </w:r>
      <w:r w:rsidRPr="00135F12">
        <w:rPr>
          <w:rFonts w:ascii="Garamond" w:hAnsi="Garamond" w:cs="Garamond"/>
          <w:sz w:val="20"/>
          <w:szCs w:val="20"/>
          <w:lang w:val="en-GB"/>
        </w:rPr>
        <w:t>–</w:t>
      </w:r>
      <w:r w:rsidRPr="00135F12">
        <w:rPr>
          <w:rFonts w:ascii="Garamond" w:hAnsi="Garamond"/>
          <w:sz w:val="20"/>
          <w:szCs w:val="20"/>
          <w:lang w:val="en-GB"/>
        </w:rPr>
        <w:t>42. Available from: http://journals.lww.com/aoam by BhDMf5ePHKav1zEoum1tQfN4a+kJLhEZgbsIHo4XMi0hCywCX1AW</w:t>
      </w:r>
    </w:p>
    <w:p w14:paraId="6E90FCA5" w14:textId="7BEDDC37"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8. </w:t>
      </w:r>
      <w:r w:rsidRPr="00135F12">
        <w:rPr>
          <w:rFonts w:ascii="Garamond" w:hAnsi="Garamond"/>
          <w:sz w:val="20"/>
          <w:szCs w:val="20"/>
          <w:lang w:val="en-GB"/>
        </w:rPr>
        <w:tab/>
        <w:t xml:space="preserve">Ramai D, Pulisetty T. Maternal </w:t>
      </w:r>
      <w:r w:rsidR="00691BD8" w:rsidRPr="00135F12">
        <w:rPr>
          <w:rFonts w:ascii="Garamond" w:hAnsi="Garamond"/>
          <w:sz w:val="20"/>
          <w:szCs w:val="20"/>
          <w:lang w:val="en-GB"/>
        </w:rPr>
        <w:t>a</w:t>
      </w:r>
      <w:r w:rsidRPr="00135F12">
        <w:rPr>
          <w:rFonts w:ascii="Garamond" w:hAnsi="Garamond"/>
          <w:sz w:val="20"/>
          <w:szCs w:val="20"/>
          <w:lang w:val="en-GB"/>
        </w:rPr>
        <w:t xml:space="preserve">nd Caregiver Perceptions </w:t>
      </w:r>
      <w:r w:rsidR="00691BD8" w:rsidRPr="00135F12">
        <w:rPr>
          <w:rFonts w:ascii="Garamond" w:hAnsi="Garamond"/>
          <w:sz w:val="20"/>
          <w:szCs w:val="20"/>
          <w:lang w:val="en-GB"/>
        </w:rPr>
        <w:t>t</w:t>
      </w:r>
      <w:r w:rsidRPr="00135F12">
        <w:rPr>
          <w:rFonts w:ascii="Garamond" w:hAnsi="Garamond"/>
          <w:sz w:val="20"/>
          <w:szCs w:val="20"/>
          <w:lang w:val="en-GB"/>
        </w:rPr>
        <w:t xml:space="preserve">o Childhood Eye Care </w:t>
      </w:r>
      <w:r w:rsidR="00691BD8" w:rsidRPr="00135F12">
        <w:rPr>
          <w:rFonts w:ascii="Garamond" w:hAnsi="Garamond"/>
          <w:sz w:val="20"/>
          <w:szCs w:val="20"/>
          <w:lang w:val="en-GB"/>
        </w:rPr>
        <w:t>i</w:t>
      </w:r>
      <w:r w:rsidRPr="00135F12">
        <w:rPr>
          <w:rFonts w:ascii="Garamond" w:hAnsi="Garamond"/>
          <w:sz w:val="20"/>
          <w:szCs w:val="20"/>
          <w:lang w:val="en-GB"/>
        </w:rPr>
        <w:t>n Ghana. Internet J Epidemiol [Internet] 2013 [cited 2026 Mar 13];11(1):1588. Available from: https://ispub.com/IJE/11/1/1588</w:t>
      </w:r>
    </w:p>
    <w:p w14:paraId="14E2E642" w14:textId="77777777"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9. </w:t>
      </w:r>
      <w:r w:rsidRPr="00135F12">
        <w:rPr>
          <w:rFonts w:ascii="Garamond" w:hAnsi="Garamond"/>
          <w:sz w:val="20"/>
          <w:szCs w:val="20"/>
          <w:lang w:val="en-GB"/>
        </w:rPr>
        <w:tab/>
        <w:t xml:space="preserve">Eze UA, Obasuyi OC, Salihu DV, Bature M, Yeye-Agba OO, Kanmodi KK. Prevalence and Causes of Blindness and Visual Impairment Among Nigerian Children: A Systematic Review. Clin Ophthalmol [Internet] 2024 [cited 2026 Mar 13];18:289. Available from: </w:t>
      </w:r>
      <w:r w:rsidR="004C6160" w:rsidRPr="00135F12">
        <w:rPr>
          <w:rFonts w:ascii="Garamond" w:hAnsi="Garamond"/>
          <w:sz w:val="20"/>
          <w:szCs w:val="20"/>
          <w:lang w:val="en-GB"/>
        </w:rPr>
        <w:t>z</w:t>
      </w:r>
      <w:r w:rsidRPr="00135F12">
        <w:rPr>
          <w:rFonts w:ascii="Garamond" w:hAnsi="Garamond"/>
          <w:sz w:val="20"/>
          <w:szCs w:val="20"/>
          <w:lang w:val="en-GB"/>
        </w:rPr>
        <w:t>ttps://pmc.ncbi.nlm.nih.gov/articles/PMC10840545/</w:t>
      </w:r>
    </w:p>
    <w:p w14:paraId="6567C07C" w14:textId="77777777"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10. </w:t>
      </w:r>
      <w:r w:rsidRPr="00135F12">
        <w:rPr>
          <w:rFonts w:ascii="Garamond" w:hAnsi="Garamond"/>
          <w:sz w:val="20"/>
          <w:szCs w:val="20"/>
          <w:lang w:val="en-GB"/>
        </w:rPr>
        <w:tab/>
        <w:t>Eze BI, Chuka-Okosa CM, Uche JN. Traditional eye medicine use by newly presenting ophthalmic patients to a teaching hospital in south-eastern Nigeria: socio-demographic and clinical correlates. BMC Complement Altern Med [Internet] 2009 [cited 2026 Mar 13];9:40. Available from: https://pmc.ncbi.nlm.nih.gov/articles/PMC2773756/</w:t>
      </w:r>
    </w:p>
    <w:p w14:paraId="0DE99CBC" w14:textId="77777777"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11. </w:t>
      </w:r>
      <w:r w:rsidRPr="00135F12">
        <w:rPr>
          <w:rFonts w:ascii="Garamond" w:hAnsi="Garamond"/>
          <w:sz w:val="20"/>
          <w:szCs w:val="20"/>
          <w:lang w:val="en-GB"/>
        </w:rPr>
        <w:tab/>
        <w:t>Ajite KO, Fadamiro OC. Prevalence of Harmful/Traditional Medication Use in Traumatic Eye Injury. Glob J Health Sci [Internet] 2013 [cited 2026 Mar 13];5(4):55. Available from: https://pmc.ncbi.nlm.nih.gov/articles/PMC4776832/</w:t>
      </w:r>
    </w:p>
    <w:p w14:paraId="61168754" w14:textId="77777777"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lastRenderedPageBreak/>
        <w:t xml:space="preserve">12. </w:t>
      </w:r>
      <w:r w:rsidRPr="00135F12">
        <w:rPr>
          <w:rFonts w:ascii="Garamond" w:hAnsi="Garamond"/>
          <w:sz w:val="20"/>
          <w:szCs w:val="20"/>
          <w:lang w:val="en-GB"/>
        </w:rPr>
        <w:tab/>
        <w:t xml:space="preserve">Oyediji F, Ramyil A, Odugbo P, Mpyet C. Traditional eye practices: a facility-based study in North Central Nigeria. Jos J Med 2019;13(1):67–75. </w:t>
      </w:r>
    </w:p>
    <w:p w14:paraId="688B4F48" w14:textId="77777777"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13. </w:t>
      </w:r>
      <w:r w:rsidRPr="00135F12">
        <w:rPr>
          <w:rFonts w:ascii="Garamond" w:hAnsi="Garamond"/>
          <w:sz w:val="20"/>
          <w:szCs w:val="20"/>
          <w:lang w:val="en-GB"/>
        </w:rPr>
        <w:tab/>
        <w:t>Nwosu SNN, Obidiozor JU. Incidence and risk factors for traditional eye medicine use among patients at a tertiary eye hospital in Nigeria. Niger J Clin Pract [Internet] 2011 [cited 2026 Mar 13];14(4):405–7. Available from: https://pubmed.ncbi.nlm.nih.gov/22248938/</w:t>
      </w:r>
    </w:p>
    <w:p w14:paraId="4AA2D5D3" w14:textId="77777777"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14. </w:t>
      </w:r>
      <w:r w:rsidRPr="00135F12">
        <w:rPr>
          <w:rFonts w:ascii="Garamond" w:hAnsi="Garamond"/>
          <w:sz w:val="20"/>
          <w:szCs w:val="20"/>
          <w:lang w:val="en-GB"/>
        </w:rPr>
        <w:tab/>
        <w:t>Achigbu EO, Achigbu KI. Traditional eye medicine use among ophthalmic patients attending a secondary health care center in Southeast Nigeria. Port Harcourt Med J [Internet] 2017 [cited 2026 Jan 16];11(2):79–83. Available from: https://phmj.org.ng/index.php/home/article/view/142</w:t>
      </w:r>
    </w:p>
    <w:p w14:paraId="24BBB05C" w14:textId="3DBAF4F6"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15. </w:t>
      </w:r>
      <w:r w:rsidRPr="00135F12">
        <w:rPr>
          <w:rFonts w:ascii="Garamond" w:hAnsi="Garamond"/>
          <w:sz w:val="20"/>
          <w:szCs w:val="20"/>
          <w:lang w:val="en-GB"/>
        </w:rPr>
        <w:tab/>
        <w:t>Ibrahim Y, Ibrahim Abiodun Y, Kabiru Zailani A, Muhammed Yusuf T, yabagi F, Zainab U, et al. Prevalence, Types and Determinants of Traditional Eye Medication</w:t>
      </w:r>
      <w:r w:rsidR="00691BD8" w:rsidRPr="00135F12">
        <w:rPr>
          <w:rFonts w:ascii="Garamond" w:hAnsi="Garamond"/>
          <w:sz w:val="20"/>
          <w:szCs w:val="20"/>
          <w:lang w:val="en-GB"/>
        </w:rPr>
        <w:t xml:space="preserve"> </w:t>
      </w:r>
      <w:r w:rsidRPr="00135F12">
        <w:rPr>
          <w:rFonts w:ascii="Garamond" w:hAnsi="Garamond"/>
          <w:sz w:val="20"/>
          <w:szCs w:val="20"/>
          <w:lang w:val="en-GB"/>
        </w:rPr>
        <w:t>(TEM) Usage Among Nursing Mothers in Northeast Nigeria. J Med Women’s Assoc Niger [Internet] 2025 [cited 2026 Mar 13];10(2). Available from: https://jmwan.org.ng/index.php/jmwan/article/view/76</w:t>
      </w:r>
    </w:p>
    <w:p w14:paraId="3451B629" w14:textId="77777777"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16. </w:t>
      </w:r>
      <w:r w:rsidRPr="00135F12">
        <w:rPr>
          <w:rFonts w:ascii="Garamond" w:hAnsi="Garamond"/>
          <w:sz w:val="20"/>
          <w:szCs w:val="20"/>
          <w:lang w:val="en-GB"/>
        </w:rPr>
        <w:tab/>
        <w:t xml:space="preserve">Bartlett JE, Kotrlik JW, Higgins CC. Organizational Research: Determining Organizational Research: Determining Appropriate Sample Size in Survey Research Appropriate Sample Size in Survey Research. Inf Technol Learn Perform J 2001;19(1):43–50. </w:t>
      </w:r>
    </w:p>
    <w:p w14:paraId="0350B8DD" w14:textId="77777777"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17. </w:t>
      </w:r>
      <w:r w:rsidRPr="00135F12">
        <w:rPr>
          <w:rFonts w:ascii="Garamond" w:hAnsi="Garamond"/>
          <w:sz w:val="20"/>
          <w:szCs w:val="20"/>
          <w:lang w:val="en-GB"/>
        </w:rPr>
        <w:tab/>
        <w:t>WMA. World Medical Association Declaration of Helsinki Ethical Principles for Medical Research Involving Human Subjects. JAMA [Internet] 2013 [cited 2026 Mar 12];310(20):2191–4. Available from: https://www.wma.net/wp-content/uploads/2016/11/DoH-Oct2013-JAMA.pdf</w:t>
      </w:r>
    </w:p>
    <w:p w14:paraId="66FDCDAC" w14:textId="77777777"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18. </w:t>
      </w:r>
      <w:r w:rsidRPr="00135F12">
        <w:rPr>
          <w:rFonts w:ascii="Garamond" w:hAnsi="Garamond"/>
          <w:sz w:val="20"/>
          <w:szCs w:val="20"/>
          <w:lang w:val="en-GB"/>
        </w:rPr>
        <w:tab/>
        <w:t>Ukponmwan CU, Momoh N. Incidence and Complications of Traditional Eye Medications in Nigeria in a Teaching Hospital. Middle East Afr J Ophthalmol [Internet] 2010 [cited 2026 Mar 13];17(4):315. Available from: https://pmc.ncbi.nlm.nih.gov/articles/PMC2991448/</w:t>
      </w:r>
    </w:p>
    <w:p w14:paraId="4F2F17AF" w14:textId="46B1CE57"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19. </w:t>
      </w:r>
      <w:r w:rsidRPr="00135F12">
        <w:rPr>
          <w:rFonts w:ascii="Garamond" w:hAnsi="Garamond"/>
          <w:sz w:val="20"/>
          <w:szCs w:val="20"/>
          <w:lang w:val="en-GB"/>
        </w:rPr>
        <w:tab/>
        <w:t>Ahmed SOM, Hamid HIA, Jothi Shanmugam A, Tia MMG, Alnassry SMA. Impact of exclusive breastfeeding on physical growth. Clin Nutr Open Sci [Internet] 2023 [cited 2026 Mar 13</w:t>
      </w:r>
      <w:r w:rsidR="00691BD8" w:rsidRPr="00135F12">
        <w:rPr>
          <w:rFonts w:ascii="Garamond" w:hAnsi="Garamond"/>
          <w:sz w:val="20"/>
          <w:szCs w:val="20"/>
          <w:lang w:val="en-GB"/>
        </w:rPr>
        <w:t>]; 49:101</w:t>
      </w:r>
      <w:r w:rsidRPr="00135F12">
        <w:rPr>
          <w:rFonts w:ascii="Garamond" w:hAnsi="Garamond"/>
          <w:sz w:val="20"/>
          <w:szCs w:val="20"/>
          <w:lang w:val="en-GB"/>
        </w:rPr>
        <w:t>–6. Available from: https://doaj.org/article/086bb65a4e5c4a81942d824d3649eb95</w:t>
      </w:r>
    </w:p>
    <w:p w14:paraId="18FD2B2E" w14:textId="208393D1"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20. </w:t>
      </w:r>
      <w:r w:rsidRPr="00135F12">
        <w:rPr>
          <w:rFonts w:ascii="Garamond" w:hAnsi="Garamond"/>
          <w:sz w:val="20"/>
          <w:szCs w:val="20"/>
          <w:lang w:val="en-GB"/>
        </w:rPr>
        <w:tab/>
        <w:t xml:space="preserve">Ikechukwu HU, Ofonime NU, Kofoworola O, Asukwo DE. Influence of cultural and traditional beliefs on maternal and child health practices in rural and urban communities in Cross River State, Nigeria. </w:t>
      </w:r>
      <w:r w:rsidRPr="00135F12">
        <w:rPr>
          <w:rFonts w:ascii="Garamond" w:hAnsi="Garamond"/>
          <w:sz w:val="20"/>
          <w:szCs w:val="20"/>
          <w:lang w:val="en-GB"/>
        </w:rPr>
        <w:t>Ann Med Res Pract [Internet] 2020 [cited 2026 Mar 13</w:t>
      </w:r>
      <w:r w:rsidR="00691BD8" w:rsidRPr="00135F12">
        <w:rPr>
          <w:rFonts w:ascii="Garamond" w:hAnsi="Garamond"/>
          <w:sz w:val="20"/>
          <w:szCs w:val="20"/>
          <w:lang w:val="en-GB"/>
        </w:rPr>
        <w:t>]; 1:4</w:t>
      </w:r>
      <w:r w:rsidRPr="00135F12">
        <w:rPr>
          <w:rFonts w:ascii="Garamond" w:hAnsi="Garamond"/>
          <w:sz w:val="20"/>
          <w:szCs w:val="20"/>
          <w:lang w:val="en-GB"/>
        </w:rPr>
        <w:t>. Available from: https://www.researchgate.net/publication/340454265_Influence_of_cultural_and_traditional_beliefs_on_maternal_and_child_health_practices_in_rural_and_urban_communities_in_Cross_River_State_Nigeria</w:t>
      </w:r>
    </w:p>
    <w:p w14:paraId="46F853E7" w14:textId="77777777"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21. </w:t>
      </w:r>
      <w:r w:rsidRPr="00135F12">
        <w:rPr>
          <w:rFonts w:ascii="Garamond" w:hAnsi="Garamond"/>
          <w:sz w:val="20"/>
          <w:szCs w:val="20"/>
          <w:lang w:val="en-GB"/>
        </w:rPr>
        <w:tab/>
        <w:t xml:space="preserve">Ukponmwan C, Okolo O, Kayoma D, Ese-Onakewhor J. Complications of Breast Milk Application to the Infected Eye. Niger J Ophthalmol 2009;17(1):32–5. </w:t>
      </w:r>
    </w:p>
    <w:p w14:paraId="74A78DC2" w14:textId="5829B44D"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22. </w:t>
      </w:r>
      <w:r w:rsidRPr="00135F12">
        <w:rPr>
          <w:rFonts w:ascii="Garamond" w:hAnsi="Garamond"/>
          <w:sz w:val="20"/>
          <w:szCs w:val="20"/>
          <w:lang w:val="en-GB"/>
        </w:rPr>
        <w:tab/>
        <w:t>Filella M, Martignier A, Turner A. Kohl containing lead (and other toxic elements) is widely available in Europe. Environ Res [Internet] 2020 [cited 2026 Mar 13</w:t>
      </w:r>
      <w:r w:rsidR="00691BD8" w:rsidRPr="00135F12">
        <w:rPr>
          <w:rFonts w:ascii="Garamond" w:hAnsi="Garamond"/>
          <w:sz w:val="20"/>
          <w:szCs w:val="20"/>
          <w:lang w:val="en-GB"/>
        </w:rPr>
        <w:t>]; 187:109658</w:t>
      </w:r>
      <w:r w:rsidRPr="00135F12">
        <w:rPr>
          <w:rFonts w:ascii="Garamond" w:hAnsi="Garamond"/>
          <w:sz w:val="20"/>
          <w:szCs w:val="20"/>
          <w:lang w:val="en-GB"/>
        </w:rPr>
        <w:t>. Available from: https://www.sciencedirect.com/science/article/pii/S001393512030551X?via%3Dihub</w:t>
      </w:r>
    </w:p>
    <w:p w14:paraId="1B6B846A" w14:textId="262A3EE1"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23. </w:t>
      </w:r>
      <w:r w:rsidRPr="00135F12">
        <w:rPr>
          <w:rFonts w:ascii="Garamond" w:hAnsi="Garamond"/>
          <w:sz w:val="20"/>
          <w:szCs w:val="20"/>
          <w:lang w:val="en-GB"/>
        </w:rPr>
        <w:tab/>
        <w:t xml:space="preserve">Hore P, Sedlar S, Ehrlich J. Lead Poisoning in a </w:t>
      </w:r>
      <w:r w:rsidR="00691BD8" w:rsidRPr="00135F12">
        <w:rPr>
          <w:rFonts w:ascii="Garamond" w:hAnsi="Garamond"/>
          <w:sz w:val="20"/>
          <w:szCs w:val="20"/>
          <w:lang w:val="en-GB"/>
        </w:rPr>
        <w:t>mother and her four children using a traditional eye cosmetic</w:t>
      </w:r>
      <w:r w:rsidRPr="00135F12">
        <w:rPr>
          <w:rFonts w:ascii="Garamond" w:hAnsi="Garamond"/>
          <w:sz w:val="20"/>
          <w:szCs w:val="20"/>
          <w:lang w:val="en-GB"/>
        </w:rPr>
        <w:t xml:space="preserve"> — New York City, 2012–2023. Morb Mortal Wkly Rep [Internet] 2024 [cited 2026 Mar 14];73(30):667. Available from: https://pmc.ncbi.nlm.nih.gov/articles/PMC11305410/</w:t>
      </w:r>
    </w:p>
    <w:p w14:paraId="101B7457" w14:textId="77777777"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24. </w:t>
      </w:r>
      <w:r w:rsidRPr="00135F12">
        <w:rPr>
          <w:rFonts w:ascii="Garamond" w:hAnsi="Garamond"/>
          <w:sz w:val="20"/>
          <w:szCs w:val="20"/>
          <w:lang w:val="en-GB"/>
        </w:rPr>
        <w:tab/>
        <w:t>Alkalash SH, Alsayed HY, Alamshani T k, Almarhabi BA, Alsayed KN, Alsayed GM, et al. Knowledge, Attitude, and Practice of Parents Regarding Children’s Eye Care in Al-Qunfudah Governorate, Saudi Arabia. Cureus [Internet] 2023 [cited 2026 Jan 19];15(10). Available from: https://pubmed.ncbi.nlm.nih.gov/38034266/</w:t>
      </w:r>
    </w:p>
    <w:p w14:paraId="047BB149" w14:textId="77777777" w:rsidR="004C6160"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25. </w:t>
      </w:r>
      <w:r w:rsidRPr="00135F12">
        <w:rPr>
          <w:rFonts w:ascii="Garamond" w:hAnsi="Garamond"/>
          <w:sz w:val="20"/>
          <w:szCs w:val="20"/>
          <w:lang w:val="en-GB"/>
        </w:rPr>
        <w:tab/>
        <w:t>Anwar Z, Anwar S, Akram M, Ahmad S, Pirzada S, Kanwal A. Eye Care and Surma Use in Pakistani Neonates. Pakistan J Med Heal Sci [Internet] 2022 [cited 2026 Mar 13];16(02):374–374. Available from: https://pjmhsonline.com/index.php/pjmhs/article/view/133</w:t>
      </w:r>
    </w:p>
    <w:p w14:paraId="1907A137" w14:textId="09FD063D" w:rsidR="00167D15" w:rsidRPr="00135F12" w:rsidRDefault="00950924" w:rsidP="00135F12">
      <w:pPr>
        <w:ind w:hanging="284"/>
        <w:rPr>
          <w:rFonts w:ascii="Garamond" w:hAnsi="Garamond"/>
          <w:sz w:val="20"/>
          <w:szCs w:val="20"/>
          <w:lang w:val="en-GB"/>
        </w:rPr>
      </w:pPr>
      <w:r w:rsidRPr="00135F12">
        <w:rPr>
          <w:rFonts w:ascii="Garamond" w:hAnsi="Garamond"/>
          <w:sz w:val="20"/>
          <w:szCs w:val="20"/>
          <w:lang w:val="en-GB"/>
        </w:rPr>
        <w:t xml:space="preserve">26. </w:t>
      </w:r>
      <w:r w:rsidRPr="00135F12">
        <w:rPr>
          <w:rFonts w:ascii="Garamond" w:hAnsi="Garamond"/>
          <w:sz w:val="20"/>
          <w:szCs w:val="20"/>
          <w:lang w:val="en-GB"/>
        </w:rPr>
        <w:tab/>
        <w:t>Aghaji AE, Ezeome I V., Ezeome ER. Evaluation of content and cost of traditional eye medication in a resource-poor country - Implications for eye care practice and policy. Niger J Clin Pract [Internet] 2018 [cited 2026 Jan 16];21(11):1514–9. Available from: https://pubmed.ncbi.nlm.nih.gov/30417853/</w:t>
      </w:r>
    </w:p>
    <w:p w14:paraId="35286493" w14:textId="77777777" w:rsidR="00950924" w:rsidRPr="00950924" w:rsidRDefault="00950924" w:rsidP="00135F12">
      <w:pPr>
        <w:rPr>
          <w:rFonts w:ascii="Garamond" w:hAnsi="Garamond"/>
          <w:b/>
          <w:bCs/>
          <w:iCs/>
          <w:sz w:val="20"/>
          <w:szCs w:val="20"/>
        </w:rPr>
      </w:pPr>
      <w:r w:rsidRPr="00135F12">
        <w:rPr>
          <w:rFonts w:ascii="Garamond" w:hAnsi="Garamond"/>
          <w:sz w:val="20"/>
          <w:szCs w:val="20"/>
        </w:rPr>
        <w:fldChar w:fldCharType="end"/>
      </w:r>
    </w:p>
    <w:p w14:paraId="69A71A7D" w14:textId="77777777" w:rsidR="00950924" w:rsidRPr="00950924" w:rsidRDefault="00950924" w:rsidP="00950924">
      <w:pPr>
        <w:spacing w:line="259" w:lineRule="auto"/>
        <w:jc w:val="both"/>
        <w:rPr>
          <w:rFonts w:ascii="Garamond" w:hAnsi="Garamond"/>
          <w:bCs/>
          <w:iCs/>
          <w:sz w:val="20"/>
          <w:szCs w:val="20"/>
        </w:rPr>
      </w:pPr>
    </w:p>
    <w:p w14:paraId="4AB02B5D" w14:textId="77777777" w:rsidR="00950924" w:rsidRPr="00950924" w:rsidRDefault="00950924" w:rsidP="00950924">
      <w:pPr>
        <w:spacing w:line="259" w:lineRule="auto"/>
        <w:jc w:val="both"/>
        <w:rPr>
          <w:rFonts w:ascii="Garamond" w:hAnsi="Garamond"/>
          <w:bCs/>
          <w:iCs/>
          <w:sz w:val="20"/>
          <w:szCs w:val="20"/>
        </w:rPr>
      </w:pPr>
    </w:p>
    <w:p w14:paraId="637C7596" w14:textId="77777777" w:rsidR="00950924" w:rsidRPr="00950924" w:rsidRDefault="00950924" w:rsidP="00950924">
      <w:pPr>
        <w:spacing w:line="259" w:lineRule="auto"/>
        <w:jc w:val="both"/>
        <w:rPr>
          <w:rFonts w:ascii="Garamond" w:hAnsi="Garamond"/>
          <w:bCs/>
          <w:iCs/>
          <w:sz w:val="20"/>
          <w:szCs w:val="20"/>
        </w:rPr>
      </w:pPr>
    </w:p>
    <w:p w14:paraId="38B7DD6D" w14:textId="77777777" w:rsidR="00950924" w:rsidRPr="00950924" w:rsidRDefault="00950924" w:rsidP="00950924">
      <w:pPr>
        <w:spacing w:line="259" w:lineRule="auto"/>
        <w:jc w:val="both"/>
        <w:rPr>
          <w:rFonts w:ascii="Garamond" w:hAnsi="Garamond"/>
          <w:bCs/>
          <w:iCs/>
          <w:sz w:val="20"/>
          <w:szCs w:val="20"/>
        </w:rPr>
      </w:pPr>
    </w:p>
    <w:p w14:paraId="00B66196" w14:textId="77777777" w:rsidR="00950924" w:rsidRPr="00950924" w:rsidRDefault="00950924" w:rsidP="00950924">
      <w:pPr>
        <w:spacing w:line="259" w:lineRule="auto"/>
        <w:jc w:val="both"/>
        <w:rPr>
          <w:rFonts w:ascii="Garamond" w:hAnsi="Garamond"/>
          <w:bCs/>
          <w:iCs/>
          <w:sz w:val="20"/>
          <w:szCs w:val="20"/>
        </w:rPr>
      </w:pPr>
    </w:p>
    <w:p w14:paraId="6FCA79CD" w14:textId="77777777" w:rsidR="00950924" w:rsidRPr="00950924" w:rsidRDefault="00950924" w:rsidP="00950924">
      <w:pPr>
        <w:spacing w:line="259" w:lineRule="auto"/>
        <w:jc w:val="both"/>
        <w:rPr>
          <w:rFonts w:ascii="Garamond" w:hAnsi="Garamond"/>
          <w:bCs/>
          <w:iCs/>
          <w:sz w:val="20"/>
          <w:szCs w:val="20"/>
        </w:rPr>
      </w:pPr>
    </w:p>
    <w:sectPr w:rsidR="00950924" w:rsidRPr="00950924" w:rsidSect="003D02D5">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B561D" w14:textId="77777777" w:rsidR="006567E0" w:rsidRDefault="006567E0" w:rsidP="00202B90">
      <w:r>
        <w:separator/>
      </w:r>
    </w:p>
  </w:endnote>
  <w:endnote w:type="continuationSeparator" w:id="0">
    <w:p w14:paraId="18811644" w14:textId="77777777" w:rsidR="006567E0" w:rsidRDefault="006567E0"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Quattrocento Sans">
    <w:panose1 w:val="020B0502050000020003"/>
    <w:charset w:val="00"/>
    <w:family w:val="swiss"/>
    <w:pitch w:val="variable"/>
    <w:sig w:usb0="800000BF" w:usb1="4000005B" w:usb2="00000000" w:usb3="00000000" w:csb0="00000001"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744E6" w14:textId="77777777" w:rsidR="006567E0" w:rsidRDefault="006567E0" w:rsidP="00202B90">
      <w:bookmarkStart w:id="0" w:name="_Hlk191386689"/>
      <w:bookmarkEnd w:id="0"/>
      <w:r>
        <w:separator/>
      </w:r>
    </w:p>
  </w:footnote>
  <w:footnote w:type="continuationSeparator" w:id="0">
    <w:p w14:paraId="7C7B4C24" w14:textId="77777777" w:rsidR="006567E0" w:rsidRDefault="006567E0"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64E2C84A" w14:textId="77777777" w:rsidR="002F78E4" w:rsidRPr="002F78E4" w:rsidRDefault="002F78E4" w:rsidP="00E94E49">
    <w:pPr>
      <w:pStyle w:val="Header"/>
      <w:tabs>
        <w:tab w:val="clear" w:pos="4320"/>
        <w:tab w:val="clear" w:pos="8640"/>
        <w:tab w:val="left" w:pos="630"/>
      </w:tabs>
      <w:jc w:val="both"/>
      <w:rPr>
        <w:rFonts w:ascii="Garamond" w:hAnsi="Garamond"/>
        <w:sz w:val="20"/>
        <w:szCs w:val="22"/>
      </w:rPr>
    </w:pPr>
    <w:r w:rsidRPr="002F78E4">
      <w:rPr>
        <w:rFonts w:ascii="Garamond" w:hAnsi="Garamond"/>
        <w:sz w:val="20"/>
        <w:szCs w:val="22"/>
      </w:rPr>
      <w:t>Maternal Use of Traditional Eye Medicines in Children Attending Immunization Clinics</w:t>
    </w:r>
  </w:p>
  <w:p w14:paraId="5D172485" w14:textId="6B063A92" w:rsidR="002238CA" w:rsidRDefault="002F78E4" w:rsidP="00E94E49">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Ezenwa</w:t>
    </w:r>
    <w:r w:rsidR="008134A3">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4D2F1A2B" w14:textId="77777777" w:rsidR="002F78E4" w:rsidRPr="002F78E4" w:rsidRDefault="002F78E4" w:rsidP="002F78E4">
    <w:pPr>
      <w:pStyle w:val="Header"/>
      <w:tabs>
        <w:tab w:val="clear" w:pos="4320"/>
        <w:tab w:val="clear" w:pos="8640"/>
        <w:tab w:val="left" w:pos="630"/>
      </w:tabs>
      <w:jc w:val="both"/>
      <w:rPr>
        <w:rFonts w:ascii="Garamond" w:hAnsi="Garamond"/>
        <w:sz w:val="20"/>
        <w:szCs w:val="22"/>
      </w:rPr>
    </w:pPr>
    <w:r w:rsidRPr="002F78E4">
      <w:rPr>
        <w:rFonts w:ascii="Garamond" w:hAnsi="Garamond"/>
        <w:sz w:val="20"/>
        <w:szCs w:val="22"/>
      </w:rPr>
      <w:t>Maternal Use of Traditional Eye Medicines in Children Attending Immunization Clinics</w:t>
    </w:r>
  </w:p>
  <w:p w14:paraId="230BB898" w14:textId="77777777" w:rsidR="002F78E4" w:rsidRDefault="002F78E4" w:rsidP="002F78E4">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Ezenwa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1DABA805" w14:textId="77777777" w:rsidR="002F78E4" w:rsidRPr="002F78E4" w:rsidRDefault="002F78E4" w:rsidP="002F78E4">
    <w:pPr>
      <w:pStyle w:val="Header"/>
      <w:tabs>
        <w:tab w:val="clear" w:pos="4320"/>
        <w:tab w:val="clear" w:pos="8640"/>
        <w:tab w:val="left" w:pos="630"/>
      </w:tabs>
      <w:jc w:val="both"/>
      <w:rPr>
        <w:rFonts w:ascii="Garamond" w:hAnsi="Garamond"/>
        <w:sz w:val="20"/>
        <w:szCs w:val="22"/>
      </w:rPr>
    </w:pPr>
    <w:r w:rsidRPr="002F78E4">
      <w:rPr>
        <w:rFonts w:ascii="Garamond" w:hAnsi="Garamond"/>
        <w:sz w:val="20"/>
        <w:szCs w:val="22"/>
      </w:rPr>
      <w:t>Maternal Use of Traditional Eye Medicines in Children Attending Immunization Clinics</w:t>
    </w:r>
  </w:p>
  <w:p w14:paraId="5D597D77" w14:textId="77777777" w:rsidR="002F78E4" w:rsidRDefault="002F78E4" w:rsidP="002F78E4">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Ezenwa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95A2A"/>
    <w:multiLevelType w:val="hybridMultilevel"/>
    <w:tmpl w:val="A896F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BF3CC2"/>
    <w:multiLevelType w:val="hybridMultilevel"/>
    <w:tmpl w:val="59AED014"/>
    <w:lvl w:ilvl="0" w:tplc="2A8A691C">
      <w:start w:val="1"/>
      <w:numFmt w:val="decimal"/>
      <w:lvlText w:val="%1."/>
      <w:lvlJc w:val="left"/>
      <w:pPr>
        <w:tabs>
          <w:tab w:val="num" w:pos="720"/>
        </w:tabs>
        <w:ind w:left="720" w:hanging="360"/>
      </w:pPr>
    </w:lvl>
    <w:lvl w:ilvl="1" w:tplc="C46E6A8E" w:tentative="1">
      <w:start w:val="1"/>
      <w:numFmt w:val="decimal"/>
      <w:lvlText w:val="%2."/>
      <w:lvlJc w:val="left"/>
      <w:pPr>
        <w:tabs>
          <w:tab w:val="num" w:pos="1440"/>
        </w:tabs>
        <w:ind w:left="1440" w:hanging="360"/>
      </w:pPr>
    </w:lvl>
    <w:lvl w:ilvl="2" w:tplc="547CA956" w:tentative="1">
      <w:start w:val="1"/>
      <w:numFmt w:val="decimal"/>
      <w:lvlText w:val="%3."/>
      <w:lvlJc w:val="left"/>
      <w:pPr>
        <w:tabs>
          <w:tab w:val="num" w:pos="2160"/>
        </w:tabs>
        <w:ind w:left="2160" w:hanging="360"/>
      </w:pPr>
    </w:lvl>
    <w:lvl w:ilvl="3" w:tplc="E8443260" w:tentative="1">
      <w:start w:val="1"/>
      <w:numFmt w:val="decimal"/>
      <w:lvlText w:val="%4."/>
      <w:lvlJc w:val="left"/>
      <w:pPr>
        <w:tabs>
          <w:tab w:val="num" w:pos="2880"/>
        </w:tabs>
        <w:ind w:left="2880" w:hanging="360"/>
      </w:pPr>
    </w:lvl>
    <w:lvl w:ilvl="4" w:tplc="1806EE36" w:tentative="1">
      <w:start w:val="1"/>
      <w:numFmt w:val="decimal"/>
      <w:lvlText w:val="%5."/>
      <w:lvlJc w:val="left"/>
      <w:pPr>
        <w:tabs>
          <w:tab w:val="num" w:pos="3600"/>
        </w:tabs>
        <w:ind w:left="3600" w:hanging="360"/>
      </w:pPr>
    </w:lvl>
    <w:lvl w:ilvl="5" w:tplc="51382BFC" w:tentative="1">
      <w:start w:val="1"/>
      <w:numFmt w:val="decimal"/>
      <w:lvlText w:val="%6."/>
      <w:lvlJc w:val="left"/>
      <w:pPr>
        <w:tabs>
          <w:tab w:val="num" w:pos="4320"/>
        </w:tabs>
        <w:ind w:left="4320" w:hanging="360"/>
      </w:pPr>
    </w:lvl>
    <w:lvl w:ilvl="6" w:tplc="B0BC92E8" w:tentative="1">
      <w:start w:val="1"/>
      <w:numFmt w:val="decimal"/>
      <w:lvlText w:val="%7."/>
      <w:lvlJc w:val="left"/>
      <w:pPr>
        <w:tabs>
          <w:tab w:val="num" w:pos="5040"/>
        </w:tabs>
        <w:ind w:left="5040" w:hanging="360"/>
      </w:pPr>
    </w:lvl>
    <w:lvl w:ilvl="7" w:tplc="413AB9EE" w:tentative="1">
      <w:start w:val="1"/>
      <w:numFmt w:val="decimal"/>
      <w:lvlText w:val="%8."/>
      <w:lvlJc w:val="left"/>
      <w:pPr>
        <w:tabs>
          <w:tab w:val="num" w:pos="5760"/>
        </w:tabs>
        <w:ind w:left="5760" w:hanging="360"/>
      </w:pPr>
    </w:lvl>
    <w:lvl w:ilvl="8" w:tplc="6082E5F2" w:tentative="1">
      <w:start w:val="1"/>
      <w:numFmt w:val="decimal"/>
      <w:lvlText w:val="%9."/>
      <w:lvlJc w:val="left"/>
      <w:pPr>
        <w:tabs>
          <w:tab w:val="num" w:pos="6480"/>
        </w:tabs>
        <w:ind w:left="6480" w:hanging="360"/>
      </w:pPr>
    </w:lvl>
  </w:abstractNum>
  <w:abstractNum w:abstractNumId="19" w15:restartNumberingAfterBreak="0">
    <w:nsid w:val="421846A2"/>
    <w:multiLevelType w:val="hybridMultilevel"/>
    <w:tmpl w:val="399C5FC8"/>
    <w:lvl w:ilvl="0" w:tplc="240A0EF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B73448"/>
    <w:multiLevelType w:val="hybridMultilevel"/>
    <w:tmpl w:val="E41A37D2"/>
    <w:lvl w:ilvl="0" w:tplc="C49E7C9A">
      <w:start w:val="1"/>
      <w:numFmt w:val="decimal"/>
      <w:lvlText w:val="%1."/>
      <w:lvlJc w:val="left"/>
      <w:pPr>
        <w:tabs>
          <w:tab w:val="num" w:pos="720"/>
        </w:tabs>
        <w:ind w:left="720" w:hanging="360"/>
      </w:pPr>
    </w:lvl>
    <w:lvl w:ilvl="1" w:tplc="B58AF0BC" w:tentative="1">
      <w:start w:val="1"/>
      <w:numFmt w:val="decimal"/>
      <w:lvlText w:val="%2."/>
      <w:lvlJc w:val="left"/>
      <w:pPr>
        <w:tabs>
          <w:tab w:val="num" w:pos="1440"/>
        </w:tabs>
        <w:ind w:left="1440" w:hanging="360"/>
      </w:pPr>
    </w:lvl>
    <w:lvl w:ilvl="2" w:tplc="1E4CBEC4" w:tentative="1">
      <w:start w:val="1"/>
      <w:numFmt w:val="decimal"/>
      <w:lvlText w:val="%3."/>
      <w:lvlJc w:val="left"/>
      <w:pPr>
        <w:tabs>
          <w:tab w:val="num" w:pos="2160"/>
        </w:tabs>
        <w:ind w:left="2160" w:hanging="360"/>
      </w:pPr>
    </w:lvl>
    <w:lvl w:ilvl="3" w:tplc="FEC21DD4" w:tentative="1">
      <w:start w:val="1"/>
      <w:numFmt w:val="decimal"/>
      <w:lvlText w:val="%4."/>
      <w:lvlJc w:val="left"/>
      <w:pPr>
        <w:tabs>
          <w:tab w:val="num" w:pos="2880"/>
        </w:tabs>
        <w:ind w:left="2880" w:hanging="360"/>
      </w:pPr>
    </w:lvl>
    <w:lvl w:ilvl="4" w:tplc="D81C5CD2" w:tentative="1">
      <w:start w:val="1"/>
      <w:numFmt w:val="decimal"/>
      <w:lvlText w:val="%5."/>
      <w:lvlJc w:val="left"/>
      <w:pPr>
        <w:tabs>
          <w:tab w:val="num" w:pos="3600"/>
        </w:tabs>
        <w:ind w:left="3600" w:hanging="360"/>
      </w:pPr>
    </w:lvl>
    <w:lvl w:ilvl="5" w:tplc="5E50B0D0" w:tentative="1">
      <w:start w:val="1"/>
      <w:numFmt w:val="decimal"/>
      <w:lvlText w:val="%6."/>
      <w:lvlJc w:val="left"/>
      <w:pPr>
        <w:tabs>
          <w:tab w:val="num" w:pos="4320"/>
        </w:tabs>
        <w:ind w:left="4320" w:hanging="360"/>
      </w:pPr>
    </w:lvl>
    <w:lvl w:ilvl="6" w:tplc="91F01B8A" w:tentative="1">
      <w:start w:val="1"/>
      <w:numFmt w:val="decimal"/>
      <w:lvlText w:val="%7."/>
      <w:lvlJc w:val="left"/>
      <w:pPr>
        <w:tabs>
          <w:tab w:val="num" w:pos="5040"/>
        </w:tabs>
        <w:ind w:left="5040" w:hanging="360"/>
      </w:pPr>
    </w:lvl>
    <w:lvl w:ilvl="7" w:tplc="BD5288A2" w:tentative="1">
      <w:start w:val="1"/>
      <w:numFmt w:val="decimal"/>
      <w:lvlText w:val="%8."/>
      <w:lvlJc w:val="left"/>
      <w:pPr>
        <w:tabs>
          <w:tab w:val="num" w:pos="5760"/>
        </w:tabs>
        <w:ind w:left="5760" w:hanging="360"/>
      </w:pPr>
    </w:lvl>
    <w:lvl w:ilvl="8" w:tplc="1A9645C8" w:tentative="1">
      <w:start w:val="1"/>
      <w:numFmt w:val="decimal"/>
      <w:lvlText w:val="%9."/>
      <w:lvlJc w:val="left"/>
      <w:pPr>
        <w:tabs>
          <w:tab w:val="num" w:pos="6480"/>
        </w:tabs>
        <w:ind w:left="6480" w:hanging="360"/>
      </w:pPr>
    </w:lvl>
  </w:abstractNum>
  <w:abstractNum w:abstractNumId="24"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867581"/>
    <w:multiLevelType w:val="hybridMultilevel"/>
    <w:tmpl w:val="2C5AF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612618"/>
    <w:multiLevelType w:val="hybridMultilevel"/>
    <w:tmpl w:val="621C2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7"/>
  </w:num>
  <w:num w:numId="2" w16cid:durableId="189728065">
    <w:abstractNumId w:val="1"/>
  </w:num>
  <w:num w:numId="3" w16cid:durableId="34425020">
    <w:abstractNumId w:val="15"/>
  </w:num>
  <w:num w:numId="4" w16cid:durableId="1129132120">
    <w:abstractNumId w:val="13"/>
  </w:num>
  <w:num w:numId="5" w16cid:durableId="970405640">
    <w:abstractNumId w:val="5"/>
  </w:num>
  <w:num w:numId="6" w16cid:durableId="1155297297">
    <w:abstractNumId w:val="0"/>
  </w:num>
  <w:num w:numId="7" w16cid:durableId="1289319636">
    <w:abstractNumId w:val="17"/>
  </w:num>
  <w:num w:numId="8" w16cid:durableId="15958166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4"/>
  </w:num>
  <w:num w:numId="10" w16cid:durableId="1714503964">
    <w:abstractNumId w:val="16"/>
  </w:num>
  <w:num w:numId="11" w16cid:durableId="624430197">
    <w:abstractNumId w:val="10"/>
  </w:num>
  <w:num w:numId="12" w16cid:durableId="1779639381">
    <w:abstractNumId w:val="21"/>
  </w:num>
  <w:num w:numId="13" w16cid:durableId="52851340">
    <w:abstractNumId w:val="22"/>
  </w:num>
  <w:num w:numId="14" w16cid:durableId="1055860988">
    <w:abstractNumId w:val="12"/>
  </w:num>
  <w:num w:numId="15" w16cid:durableId="1380934824">
    <w:abstractNumId w:val="24"/>
  </w:num>
  <w:num w:numId="16" w16cid:durableId="1314261793">
    <w:abstractNumId w:val="6"/>
  </w:num>
  <w:num w:numId="17" w16cid:durableId="1221361593">
    <w:abstractNumId w:val="27"/>
  </w:num>
  <w:num w:numId="18" w16cid:durableId="377054002">
    <w:abstractNumId w:val="8"/>
  </w:num>
  <w:num w:numId="19" w16cid:durableId="513375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5"/>
  </w:num>
  <w:num w:numId="21" w16cid:durableId="299457719">
    <w:abstractNumId w:val="9"/>
  </w:num>
  <w:num w:numId="22" w16cid:durableId="1575044381">
    <w:abstractNumId w:val="20"/>
  </w:num>
  <w:num w:numId="23" w16cid:durableId="1550071572">
    <w:abstractNumId w:val="28"/>
  </w:num>
  <w:num w:numId="24" w16cid:durableId="1200505831">
    <w:abstractNumId w:val="26"/>
  </w:num>
  <w:num w:numId="25" w16cid:durableId="1501195848">
    <w:abstractNumId w:val="4"/>
  </w:num>
  <w:num w:numId="26" w16cid:durableId="1293750029">
    <w:abstractNumId w:val="2"/>
  </w:num>
  <w:num w:numId="27" w16cid:durableId="169102992">
    <w:abstractNumId w:val="30"/>
  </w:num>
  <w:num w:numId="28" w16cid:durableId="1156990900">
    <w:abstractNumId w:val="29"/>
  </w:num>
  <w:num w:numId="29" w16cid:durableId="720055573">
    <w:abstractNumId w:val="18"/>
  </w:num>
  <w:num w:numId="30" w16cid:durableId="160656741">
    <w:abstractNumId w:val="23"/>
  </w:num>
  <w:num w:numId="31" w16cid:durableId="901326276">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2123"/>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5F12"/>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67B2A"/>
    <w:rsid w:val="00167D15"/>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4073"/>
    <w:rsid w:val="0025599F"/>
    <w:rsid w:val="00255DE8"/>
    <w:rsid w:val="002563C4"/>
    <w:rsid w:val="002600B8"/>
    <w:rsid w:val="002639EF"/>
    <w:rsid w:val="00266FEB"/>
    <w:rsid w:val="00270D5C"/>
    <w:rsid w:val="00271A58"/>
    <w:rsid w:val="00272DE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2F78E4"/>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6160"/>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5E8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567E0"/>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91BD8"/>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0924"/>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5BE"/>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1631C"/>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97AFF"/>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354B"/>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5837"/>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5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mplyadah@yahoo.com"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diagramData" Target="diagrams/data1.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diagramColors" Target="diagrams/colors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325" TargetMode="External"/><Relationship Id="rId28" Type="http://schemas.openxmlformats.org/officeDocument/2006/relationships/diagramQuickStyle" Target="diagrams/quickStyle1.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325" TargetMode="External"/><Relationship Id="rId27" Type="http://schemas.openxmlformats.org/officeDocument/2006/relationships/diagramLayout" Target="diagrams/layout1.xml"/><Relationship Id="rId30" Type="http://schemas.microsoft.com/office/2007/relationships/diagramDrawing" Target="diagrams/drawing1.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ADE0AD6-4CD4-4156-9A7C-DB5391DC3AB6}"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GB"/>
        </a:p>
      </dgm:t>
    </dgm:pt>
    <dgm:pt modelId="{9F86BE0E-56CD-4829-860C-E05D53483800}" type="asst">
      <dgm:prSet phldrT="[Text]" custT="1"/>
      <dgm:spPr>
        <a:solidFill>
          <a:schemeClr val="bg1"/>
        </a:solidFill>
        <a:ln>
          <a:solidFill>
            <a:schemeClr val="tx1"/>
          </a:solidFill>
        </a:ln>
      </dgm:spPr>
      <dgm:t>
        <a:bodyPr/>
        <a:lstStyle/>
        <a:p>
          <a:r>
            <a:rPr lang="en-GB" sz="1400">
              <a:solidFill>
                <a:sysClr val="windowText" lastClr="000000"/>
              </a:solidFill>
            </a:rPr>
            <a:t>Inel</a:t>
          </a:r>
          <a:r>
            <a:rPr lang="en-GB" sz="1200">
              <a:solidFill>
                <a:sysClr val="windowText" lastClr="000000"/>
              </a:solidFill>
            </a:rPr>
            <a:t>igible</a:t>
          </a:r>
        </a:p>
        <a:p>
          <a:r>
            <a:rPr lang="en-GB" sz="1200">
              <a:solidFill>
                <a:sysClr val="windowText" lastClr="000000"/>
              </a:solidFill>
            </a:rPr>
            <a:t>no consent: 33</a:t>
          </a:r>
          <a:r>
            <a:rPr lang="en-GB" sz="1400">
              <a:solidFill>
                <a:sysClr val="windowText" lastClr="000000"/>
              </a:solidFill>
            </a:rPr>
            <a:t> </a:t>
          </a:r>
        </a:p>
      </dgm:t>
    </dgm:pt>
    <dgm:pt modelId="{082BF55F-605D-41C8-9E59-FD6F538A5FCD}" type="parTrans" cxnId="{5AD2475E-464C-426E-AD41-A99D189293E0}">
      <dgm:prSet/>
      <dgm:spPr>
        <a:ln>
          <a:solidFill>
            <a:schemeClr val="tx1"/>
          </a:solidFill>
        </a:ln>
      </dgm:spPr>
      <dgm:t>
        <a:bodyPr/>
        <a:lstStyle/>
        <a:p>
          <a:endParaRPr lang="en-GB"/>
        </a:p>
      </dgm:t>
    </dgm:pt>
    <dgm:pt modelId="{3677F4F2-B4E3-4F09-B74C-60B9E8079FE7}" type="sibTrans" cxnId="{5AD2475E-464C-426E-AD41-A99D189293E0}">
      <dgm:prSet/>
      <dgm:spPr/>
      <dgm:t>
        <a:bodyPr/>
        <a:lstStyle/>
        <a:p>
          <a:endParaRPr lang="en-GB"/>
        </a:p>
      </dgm:t>
    </dgm:pt>
    <dgm:pt modelId="{6658FE20-D10C-494D-937A-AB9D6192092B}">
      <dgm:prSet custT="1"/>
      <dgm:spPr>
        <a:solidFill>
          <a:schemeClr val="bg1"/>
        </a:solidFill>
        <a:ln>
          <a:solidFill>
            <a:schemeClr val="tx1"/>
          </a:solidFill>
        </a:ln>
      </dgm:spPr>
      <dgm:t>
        <a:bodyPr/>
        <a:lstStyle/>
        <a:p>
          <a:r>
            <a:rPr lang="en-GB" sz="1200">
              <a:solidFill>
                <a:sysClr val="windowText" lastClr="000000"/>
              </a:solidFill>
            </a:rPr>
            <a:t>Analysed</a:t>
          </a:r>
        </a:p>
        <a:p>
          <a:r>
            <a:rPr lang="en-GB" sz="1200">
              <a:solidFill>
                <a:sysClr val="windowText" lastClr="000000"/>
              </a:solidFill>
            </a:rPr>
            <a:t>320</a:t>
          </a:r>
        </a:p>
      </dgm:t>
    </dgm:pt>
    <dgm:pt modelId="{EB07B59B-1D5B-4AFE-9292-DC2F5AB5D439}" type="parTrans" cxnId="{E758ED57-B203-45B8-927B-8B1435AB9CEA}">
      <dgm:prSet/>
      <dgm:spPr>
        <a:ln>
          <a:solidFill>
            <a:schemeClr val="tx1"/>
          </a:solidFill>
        </a:ln>
      </dgm:spPr>
      <dgm:t>
        <a:bodyPr/>
        <a:lstStyle/>
        <a:p>
          <a:endParaRPr lang="en-GB"/>
        </a:p>
      </dgm:t>
    </dgm:pt>
    <dgm:pt modelId="{5CB3E440-4E94-4EBF-8DF2-F902F5679C54}" type="sibTrans" cxnId="{E758ED57-B203-45B8-927B-8B1435AB9CEA}">
      <dgm:prSet/>
      <dgm:spPr/>
      <dgm:t>
        <a:bodyPr/>
        <a:lstStyle/>
        <a:p>
          <a:endParaRPr lang="en-GB"/>
        </a:p>
      </dgm:t>
    </dgm:pt>
    <dgm:pt modelId="{23E61A64-F252-4372-9444-49AFF7273963}">
      <dgm:prSet phldrT="[Text]" custT="1"/>
      <dgm:spPr>
        <a:solidFill>
          <a:schemeClr val="bg1"/>
        </a:solidFill>
        <a:ln>
          <a:solidFill>
            <a:schemeClr val="tx1"/>
          </a:solidFill>
        </a:ln>
      </dgm:spPr>
      <dgm:t>
        <a:bodyPr/>
        <a:lstStyle/>
        <a:p>
          <a:r>
            <a:rPr lang="en-GB" sz="1200">
              <a:solidFill>
                <a:sysClr val="windowText" lastClr="000000"/>
              </a:solidFill>
            </a:rPr>
            <a:t>Interviewed</a:t>
          </a:r>
        </a:p>
        <a:p>
          <a:r>
            <a:rPr lang="en-GB" sz="1200">
              <a:solidFill>
                <a:sysClr val="windowText" lastClr="000000"/>
              </a:solidFill>
            </a:rPr>
            <a:t>327</a:t>
          </a:r>
        </a:p>
      </dgm:t>
    </dgm:pt>
    <dgm:pt modelId="{D5F43B49-978D-4CDE-87CE-BB1A51F2A7A0}" type="sibTrans" cxnId="{EA542C57-DB93-4EBF-8D19-DCCD99A0E982}">
      <dgm:prSet/>
      <dgm:spPr/>
      <dgm:t>
        <a:bodyPr/>
        <a:lstStyle/>
        <a:p>
          <a:endParaRPr lang="en-GB"/>
        </a:p>
      </dgm:t>
    </dgm:pt>
    <dgm:pt modelId="{57A48BBD-4484-4C36-8E87-7EDB080042D2}" type="parTrans" cxnId="{EA542C57-DB93-4EBF-8D19-DCCD99A0E982}">
      <dgm:prSet/>
      <dgm:spPr>
        <a:ln>
          <a:solidFill>
            <a:schemeClr val="tx1"/>
          </a:solidFill>
        </a:ln>
      </dgm:spPr>
      <dgm:t>
        <a:bodyPr/>
        <a:lstStyle/>
        <a:p>
          <a:endParaRPr lang="en-GB"/>
        </a:p>
      </dgm:t>
    </dgm:pt>
    <dgm:pt modelId="{D67D0201-FD0D-4248-85D0-85BEBCE7F0EF}">
      <dgm:prSet phldrT="[Text]" custT="1"/>
      <dgm:spPr>
        <a:solidFill>
          <a:schemeClr val="bg1"/>
        </a:solidFill>
        <a:ln>
          <a:solidFill>
            <a:schemeClr val="tx1"/>
          </a:solidFill>
        </a:ln>
      </dgm:spPr>
      <dgm:t>
        <a:bodyPr/>
        <a:lstStyle/>
        <a:p>
          <a:r>
            <a:rPr lang="en-GB" sz="1200">
              <a:solidFill>
                <a:sysClr val="windowText" lastClr="000000"/>
              </a:solidFill>
            </a:rPr>
            <a:t>Selected</a:t>
          </a:r>
          <a:r>
            <a:rPr lang="en-GB" sz="1400">
              <a:solidFill>
                <a:sysClr val="windowText" lastClr="000000"/>
              </a:solidFill>
            </a:rPr>
            <a:t> </a:t>
          </a:r>
          <a:r>
            <a:rPr lang="en-GB" sz="1200">
              <a:solidFill>
                <a:sysClr val="windowText" lastClr="000000"/>
              </a:solidFill>
            </a:rPr>
            <a:t>and approached</a:t>
          </a:r>
        </a:p>
        <a:p>
          <a:r>
            <a:rPr lang="en-GB" sz="1200">
              <a:solidFill>
                <a:sysClr val="windowText" lastClr="000000"/>
              </a:solidFill>
            </a:rPr>
            <a:t>360</a:t>
          </a:r>
        </a:p>
      </dgm:t>
    </dgm:pt>
    <dgm:pt modelId="{2ABFBCE3-B9FB-4D29-AFCB-3F9B3E83E468}" type="sibTrans" cxnId="{55B7A597-5F27-455E-B40B-60A9ADA6C035}">
      <dgm:prSet/>
      <dgm:spPr/>
      <dgm:t>
        <a:bodyPr/>
        <a:lstStyle/>
        <a:p>
          <a:endParaRPr lang="en-GB"/>
        </a:p>
      </dgm:t>
    </dgm:pt>
    <dgm:pt modelId="{BF3E5140-1C36-4D28-B6E2-D2D5BCA10784}" type="parTrans" cxnId="{55B7A597-5F27-455E-B40B-60A9ADA6C035}">
      <dgm:prSet/>
      <dgm:spPr>
        <a:ln>
          <a:solidFill>
            <a:schemeClr val="tx1"/>
          </a:solidFill>
        </a:ln>
      </dgm:spPr>
      <dgm:t>
        <a:bodyPr/>
        <a:lstStyle/>
        <a:p>
          <a:endParaRPr lang="en-GB"/>
        </a:p>
      </dgm:t>
    </dgm:pt>
    <dgm:pt modelId="{B6E6377C-8856-459B-882C-0728A4CA984E}">
      <dgm:prSet custT="1"/>
      <dgm:spPr>
        <a:solidFill>
          <a:schemeClr val="bg1"/>
        </a:solidFill>
        <a:ln>
          <a:solidFill>
            <a:schemeClr val="tx1"/>
          </a:solidFill>
        </a:ln>
      </dgm:spPr>
      <dgm:t>
        <a:bodyPr/>
        <a:lstStyle/>
        <a:p>
          <a:r>
            <a:rPr lang="en-GB" sz="1200">
              <a:solidFill>
                <a:sysClr val="windowText" lastClr="000000"/>
              </a:solidFill>
            </a:rPr>
            <a:t>Assessed for Eligibilty</a:t>
          </a:r>
        </a:p>
        <a:p>
          <a:r>
            <a:rPr lang="en-GB" sz="1200">
              <a:solidFill>
                <a:sysClr val="windowText" lastClr="000000"/>
              </a:solidFill>
            </a:rPr>
            <a:t> 1511</a:t>
          </a:r>
        </a:p>
      </dgm:t>
    </dgm:pt>
    <dgm:pt modelId="{04E066B5-8AA6-4A8F-883B-3377B0433640}" type="parTrans" cxnId="{BF6FF379-C75D-4F4D-B97A-862E37B526C9}">
      <dgm:prSet/>
      <dgm:spPr/>
      <dgm:t>
        <a:bodyPr/>
        <a:lstStyle/>
        <a:p>
          <a:endParaRPr lang="en-GB"/>
        </a:p>
      </dgm:t>
    </dgm:pt>
    <dgm:pt modelId="{6B2D3581-2D99-4F87-963D-ABEE3D09E4BF}" type="sibTrans" cxnId="{BF6FF379-C75D-4F4D-B97A-862E37B526C9}">
      <dgm:prSet/>
      <dgm:spPr/>
      <dgm:t>
        <a:bodyPr/>
        <a:lstStyle/>
        <a:p>
          <a:endParaRPr lang="en-GB"/>
        </a:p>
      </dgm:t>
    </dgm:pt>
    <dgm:pt modelId="{A8CAE2B4-368A-4A91-AAB6-0BBE548311B2}">
      <dgm:prSet custT="1"/>
      <dgm:spPr>
        <a:solidFill>
          <a:schemeClr val="bg1"/>
        </a:solidFill>
        <a:ln>
          <a:solidFill>
            <a:schemeClr val="tx1"/>
          </a:solidFill>
        </a:ln>
      </dgm:spPr>
      <dgm:t>
        <a:bodyPr/>
        <a:lstStyle/>
        <a:p>
          <a:r>
            <a:rPr lang="en-GB" sz="1200">
              <a:solidFill>
                <a:sysClr val="windowText" lastClr="000000"/>
              </a:solidFill>
            </a:rPr>
            <a:t>Incomplete information</a:t>
          </a:r>
        </a:p>
        <a:p>
          <a:r>
            <a:rPr lang="en-GB" sz="1200">
              <a:solidFill>
                <a:sysClr val="windowText" lastClr="000000"/>
              </a:solidFill>
            </a:rPr>
            <a:t> 7 excluded</a:t>
          </a:r>
        </a:p>
      </dgm:t>
    </dgm:pt>
    <dgm:pt modelId="{D549988C-7342-4530-A40E-40D751CB3D10}" type="parTrans" cxnId="{790C62C3-1E96-4A4D-BB07-97A5CDF8F8B1}">
      <dgm:prSet/>
      <dgm:spPr>
        <a:ln>
          <a:solidFill>
            <a:schemeClr val="tx1"/>
          </a:solidFill>
        </a:ln>
      </dgm:spPr>
      <dgm:t>
        <a:bodyPr/>
        <a:lstStyle/>
        <a:p>
          <a:endParaRPr lang="en-GB"/>
        </a:p>
      </dgm:t>
    </dgm:pt>
    <dgm:pt modelId="{7FECBE24-3AF1-4444-A071-9A2D93D94611}" type="sibTrans" cxnId="{790C62C3-1E96-4A4D-BB07-97A5CDF8F8B1}">
      <dgm:prSet/>
      <dgm:spPr/>
      <dgm:t>
        <a:bodyPr/>
        <a:lstStyle/>
        <a:p>
          <a:endParaRPr lang="en-GB"/>
        </a:p>
      </dgm:t>
    </dgm:pt>
    <dgm:pt modelId="{2547C6E9-5236-47A9-8DDC-C380840498CB}" type="pres">
      <dgm:prSet presAssocID="{6ADE0AD6-4CD4-4156-9A7C-DB5391DC3AB6}" presName="hierChild1" presStyleCnt="0">
        <dgm:presLayoutVars>
          <dgm:orgChart val="1"/>
          <dgm:chPref val="1"/>
          <dgm:dir/>
          <dgm:animOne val="branch"/>
          <dgm:animLvl val="lvl"/>
          <dgm:resizeHandles/>
        </dgm:presLayoutVars>
      </dgm:prSet>
      <dgm:spPr/>
    </dgm:pt>
    <dgm:pt modelId="{F00225AD-3B78-4D23-ACAE-23F2AB7BDE0C}" type="pres">
      <dgm:prSet presAssocID="{B6E6377C-8856-459B-882C-0728A4CA984E}" presName="hierRoot1" presStyleCnt="0">
        <dgm:presLayoutVars>
          <dgm:hierBranch val="init"/>
        </dgm:presLayoutVars>
      </dgm:prSet>
      <dgm:spPr/>
    </dgm:pt>
    <dgm:pt modelId="{4653A0AE-1BA7-492C-9ABC-A880265FD410}" type="pres">
      <dgm:prSet presAssocID="{B6E6377C-8856-459B-882C-0728A4CA984E}" presName="rootComposite1" presStyleCnt="0"/>
      <dgm:spPr/>
    </dgm:pt>
    <dgm:pt modelId="{4E9F8EAF-EBE7-4E4C-8FAD-A9D3EA273932}" type="pres">
      <dgm:prSet presAssocID="{B6E6377C-8856-459B-882C-0728A4CA984E}" presName="rootText1" presStyleLbl="node0" presStyleIdx="0" presStyleCnt="1">
        <dgm:presLayoutVars>
          <dgm:chPref val="3"/>
        </dgm:presLayoutVars>
      </dgm:prSet>
      <dgm:spPr/>
    </dgm:pt>
    <dgm:pt modelId="{151675CC-A7E0-4372-AF43-37356CF156FC}" type="pres">
      <dgm:prSet presAssocID="{B6E6377C-8856-459B-882C-0728A4CA984E}" presName="rootConnector1" presStyleLbl="node1" presStyleIdx="0" presStyleCnt="0"/>
      <dgm:spPr/>
    </dgm:pt>
    <dgm:pt modelId="{589FE08E-1D93-4203-AE29-21C22C89699B}" type="pres">
      <dgm:prSet presAssocID="{B6E6377C-8856-459B-882C-0728A4CA984E}" presName="hierChild2" presStyleCnt="0"/>
      <dgm:spPr/>
    </dgm:pt>
    <dgm:pt modelId="{C680960E-887B-40FD-9E7A-811D1A83D365}" type="pres">
      <dgm:prSet presAssocID="{BF3E5140-1C36-4D28-B6E2-D2D5BCA10784}" presName="Name37" presStyleLbl="parChTrans1D2" presStyleIdx="0" presStyleCnt="1"/>
      <dgm:spPr/>
    </dgm:pt>
    <dgm:pt modelId="{453358D5-8FAF-4AE8-8ABC-E74D58A9312C}" type="pres">
      <dgm:prSet presAssocID="{D67D0201-FD0D-4248-85D0-85BEBCE7F0EF}" presName="hierRoot2" presStyleCnt="0">
        <dgm:presLayoutVars>
          <dgm:hierBranch val="init"/>
        </dgm:presLayoutVars>
      </dgm:prSet>
      <dgm:spPr/>
    </dgm:pt>
    <dgm:pt modelId="{CA2B4042-7CBD-497C-916B-F81AB9EAD3C1}" type="pres">
      <dgm:prSet presAssocID="{D67D0201-FD0D-4248-85D0-85BEBCE7F0EF}" presName="rootComposite" presStyleCnt="0"/>
      <dgm:spPr/>
    </dgm:pt>
    <dgm:pt modelId="{342A60EC-A89E-46A5-AF65-E403B3F77A8B}" type="pres">
      <dgm:prSet presAssocID="{D67D0201-FD0D-4248-85D0-85BEBCE7F0EF}" presName="rootText" presStyleLbl="node2" presStyleIdx="0" presStyleCnt="1" custScaleX="117574" custScaleY="120656">
        <dgm:presLayoutVars>
          <dgm:chPref val="3"/>
        </dgm:presLayoutVars>
      </dgm:prSet>
      <dgm:spPr/>
    </dgm:pt>
    <dgm:pt modelId="{72FB0025-81B5-4B9D-9EA3-A64D1E930EC3}" type="pres">
      <dgm:prSet presAssocID="{D67D0201-FD0D-4248-85D0-85BEBCE7F0EF}" presName="rootConnector" presStyleLbl="node2" presStyleIdx="0" presStyleCnt="1"/>
      <dgm:spPr/>
    </dgm:pt>
    <dgm:pt modelId="{3B833641-4965-4A0C-BF40-F845A2AD2C36}" type="pres">
      <dgm:prSet presAssocID="{D67D0201-FD0D-4248-85D0-85BEBCE7F0EF}" presName="hierChild4" presStyleCnt="0"/>
      <dgm:spPr/>
    </dgm:pt>
    <dgm:pt modelId="{8AEFE197-2775-4A92-9E21-1FDEDA974E92}" type="pres">
      <dgm:prSet presAssocID="{57A48BBD-4484-4C36-8E87-7EDB080042D2}" presName="Name37" presStyleLbl="parChTrans1D3" presStyleIdx="0" presStyleCnt="3"/>
      <dgm:spPr/>
    </dgm:pt>
    <dgm:pt modelId="{ECB01153-DB8C-4E72-8D24-BBF5E771B780}" type="pres">
      <dgm:prSet presAssocID="{23E61A64-F252-4372-9444-49AFF7273963}" presName="hierRoot2" presStyleCnt="0">
        <dgm:presLayoutVars>
          <dgm:hierBranch val="init"/>
        </dgm:presLayoutVars>
      </dgm:prSet>
      <dgm:spPr/>
    </dgm:pt>
    <dgm:pt modelId="{BCE52C15-D3C0-4292-B892-E72413B6FADB}" type="pres">
      <dgm:prSet presAssocID="{23E61A64-F252-4372-9444-49AFF7273963}" presName="rootComposite" presStyleCnt="0"/>
      <dgm:spPr/>
    </dgm:pt>
    <dgm:pt modelId="{FA3D3ECE-15D2-4A68-9379-978115536618}" type="pres">
      <dgm:prSet presAssocID="{23E61A64-F252-4372-9444-49AFF7273963}" presName="rootText" presStyleLbl="node3" presStyleIdx="0" presStyleCnt="2">
        <dgm:presLayoutVars>
          <dgm:chPref val="3"/>
        </dgm:presLayoutVars>
      </dgm:prSet>
      <dgm:spPr/>
    </dgm:pt>
    <dgm:pt modelId="{200969E0-BFCC-4C11-B5A5-9448BF0C8EE3}" type="pres">
      <dgm:prSet presAssocID="{23E61A64-F252-4372-9444-49AFF7273963}" presName="rootConnector" presStyleLbl="node3" presStyleIdx="0" presStyleCnt="2"/>
      <dgm:spPr/>
    </dgm:pt>
    <dgm:pt modelId="{6CA1A9A6-8C27-43F8-9351-2E8D5B8FD5D9}" type="pres">
      <dgm:prSet presAssocID="{23E61A64-F252-4372-9444-49AFF7273963}" presName="hierChild4" presStyleCnt="0"/>
      <dgm:spPr/>
    </dgm:pt>
    <dgm:pt modelId="{2417157F-87EC-4131-835F-91523D0D6895}" type="pres">
      <dgm:prSet presAssocID="{EB07B59B-1D5B-4AFE-9292-DC2F5AB5D439}" presName="Name37" presStyleLbl="parChTrans1D4" presStyleIdx="0" presStyleCnt="1"/>
      <dgm:spPr/>
    </dgm:pt>
    <dgm:pt modelId="{7113EAF9-BA1E-4039-BCB4-373589B8CE66}" type="pres">
      <dgm:prSet presAssocID="{6658FE20-D10C-494D-937A-AB9D6192092B}" presName="hierRoot2" presStyleCnt="0">
        <dgm:presLayoutVars>
          <dgm:hierBranch val="init"/>
        </dgm:presLayoutVars>
      </dgm:prSet>
      <dgm:spPr/>
    </dgm:pt>
    <dgm:pt modelId="{FD723580-53EE-44D9-81C3-4AB972C00BD7}" type="pres">
      <dgm:prSet presAssocID="{6658FE20-D10C-494D-937A-AB9D6192092B}" presName="rootComposite" presStyleCnt="0"/>
      <dgm:spPr/>
    </dgm:pt>
    <dgm:pt modelId="{56D85FFE-5A4F-423B-9B92-2A493E61CD66}" type="pres">
      <dgm:prSet presAssocID="{6658FE20-D10C-494D-937A-AB9D6192092B}" presName="rootText" presStyleLbl="node4" presStyleIdx="0" presStyleCnt="1">
        <dgm:presLayoutVars>
          <dgm:chPref val="3"/>
        </dgm:presLayoutVars>
      </dgm:prSet>
      <dgm:spPr/>
    </dgm:pt>
    <dgm:pt modelId="{95208525-28FB-4F63-A0F9-A89A0AB5A900}" type="pres">
      <dgm:prSet presAssocID="{6658FE20-D10C-494D-937A-AB9D6192092B}" presName="rootConnector" presStyleLbl="node4" presStyleIdx="0" presStyleCnt="1"/>
      <dgm:spPr/>
    </dgm:pt>
    <dgm:pt modelId="{5B7EEE1C-2F19-46DA-9BBC-6CF3A423847F}" type="pres">
      <dgm:prSet presAssocID="{6658FE20-D10C-494D-937A-AB9D6192092B}" presName="hierChild4" presStyleCnt="0"/>
      <dgm:spPr/>
    </dgm:pt>
    <dgm:pt modelId="{0122067A-2DFC-431A-BE0A-4E34F5833522}" type="pres">
      <dgm:prSet presAssocID="{6658FE20-D10C-494D-937A-AB9D6192092B}" presName="hierChild5" presStyleCnt="0"/>
      <dgm:spPr/>
    </dgm:pt>
    <dgm:pt modelId="{5A7431F9-D91A-4298-9DF4-D21DCCBBB7A7}" type="pres">
      <dgm:prSet presAssocID="{23E61A64-F252-4372-9444-49AFF7273963}" presName="hierChild5" presStyleCnt="0"/>
      <dgm:spPr/>
    </dgm:pt>
    <dgm:pt modelId="{DE8E3A24-E236-4A40-96A8-AEA65D068BD6}" type="pres">
      <dgm:prSet presAssocID="{D549988C-7342-4530-A40E-40D751CB3D10}" presName="Name37" presStyleLbl="parChTrans1D3" presStyleIdx="1" presStyleCnt="3"/>
      <dgm:spPr/>
    </dgm:pt>
    <dgm:pt modelId="{B0F97B1E-667C-4997-9031-4D55DE2F04D0}" type="pres">
      <dgm:prSet presAssocID="{A8CAE2B4-368A-4A91-AAB6-0BBE548311B2}" presName="hierRoot2" presStyleCnt="0">
        <dgm:presLayoutVars>
          <dgm:hierBranch val="init"/>
        </dgm:presLayoutVars>
      </dgm:prSet>
      <dgm:spPr/>
    </dgm:pt>
    <dgm:pt modelId="{1505D128-C1D6-435E-B04A-88AC81558916}" type="pres">
      <dgm:prSet presAssocID="{A8CAE2B4-368A-4A91-AAB6-0BBE548311B2}" presName="rootComposite" presStyleCnt="0"/>
      <dgm:spPr/>
    </dgm:pt>
    <dgm:pt modelId="{F17B9AE5-1FB6-4A38-A2BE-D77513DD1730}" type="pres">
      <dgm:prSet presAssocID="{A8CAE2B4-368A-4A91-AAB6-0BBE548311B2}" presName="rootText" presStyleLbl="node3" presStyleIdx="1" presStyleCnt="2">
        <dgm:presLayoutVars>
          <dgm:chPref val="3"/>
        </dgm:presLayoutVars>
      </dgm:prSet>
      <dgm:spPr/>
    </dgm:pt>
    <dgm:pt modelId="{B6478012-BF97-4914-BA82-A7D743F0347B}" type="pres">
      <dgm:prSet presAssocID="{A8CAE2B4-368A-4A91-AAB6-0BBE548311B2}" presName="rootConnector" presStyleLbl="node3" presStyleIdx="1" presStyleCnt="2"/>
      <dgm:spPr/>
    </dgm:pt>
    <dgm:pt modelId="{00CBD2E4-7128-49E5-86F9-CAFDCCCCA5E2}" type="pres">
      <dgm:prSet presAssocID="{A8CAE2B4-368A-4A91-AAB6-0BBE548311B2}" presName="hierChild4" presStyleCnt="0"/>
      <dgm:spPr/>
    </dgm:pt>
    <dgm:pt modelId="{6A8F960C-E373-4206-9BDA-267232924764}" type="pres">
      <dgm:prSet presAssocID="{A8CAE2B4-368A-4A91-AAB6-0BBE548311B2}" presName="hierChild5" presStyleCnt="0"/>
      <dgm:spPr/>
    </dgm:pt>
    <dgm:pt modelId="{CF6B365A-7FD6-4BA8-9B34-A0B78986A33F}" type="pres">
      <dgm:prSet presAssocID="{D67D0201-FD0D-4248-85D0-85BEBCE7F0EF}" presName="hierChild5" presStyleCnt="0"/>
      <dgm:spPr/>
    </dgm:pt>
    <dgm:pt modelId="{5BB97A68-9698-4E61-BC0B-E534F57CE5CE}" type="pres">
      <dgm:prSet presAssocID="{082BF55F-605D-41C8-9E59-FD6F538A5FCD}" presName="Name111" presStyleLbl="parChTrans1D3" presStyleIdx="2" presStyleCnt="3"/>
      <dgm:spPr/>
    </dgm:pt>
    <dgm:pt modelId="{C7470783-9F06-4286-BC56-F87C5E520DF1}" type="pres">
      <dgm:prSet presAssocID="{9F86BE0E-56CD-4829-860C-E05D53483800}" presName="hierRoot3" presStyleCnt="0">
        <dgm:presLayoutVars>
          <dgm:hierBranch val="init"/>
        </dgm:presLayoutVars>
      </dgm:prSet>
      <dgm:spPr/>
    </dgm:pt>
    <dgm:pt modelId="{8A5C8656-16E0-42F4-9C39-C18F551774EE}" type="pres">
      <dgm:prSet presAssocID="{9F86BE0E-56CD-4829-860C-E05D53483800}" presName="rootComposite3" presStyleCnt="0"/>
      <dgm:spPr/>
    </dgm:pt>
    <dgm:pt modelId="{842A1DF2-1EC9-4DD4-BE0D-4B81E8E66E60}" type="pres">
      <dgm:prSet presAssocID="{9F86BE0E-56CD-4829-860C-E05D53483800}" presName="rootText3" presStyleLbl="asst2" presStyleIdx="0" presStyleCnt="1" custScaleX="125158" custScaleY="100216">
        <dgm:presLayoutVars>
          <dgm:chPref val="3"/>
        </dgm:presLayoutVars>
      </dgm:prSet>
      <dgm:spPr/>
    </dgm:pt>
    <dgm:pt modelId="{252F2B27-9444-423E-8E3E-A678FC5B7FA7}" type="pres">
      <dgm:prSet presAssocID="{9F86BE0E-56CD-4829-860C-E05D53483800}" presName="rootConnector3" presStyleLbl="asst2" presStyleIdx="0" presStyleCnt="1"/>
      <dgm:spPr/>
    </dgm:pt>
    <dgm:pt modelId="{DD8011CD-F445-44B1-BD1C-A99EB8C3FD10}" type="pres">
      <dgm:prSet presAssocID="{9F86BE0E-56CD-4829-860C-E05D53483800}" presName="hierChild6" presStyleCnt="0"/>
      <dgm:spPr/>
    </dgm:pt>
    <dgm:pt modelId="{EDB11DFC-2ABD-427B-8AA3-2415890F42E6}" type="pres">
      <dgm:prSet presAssocID="{9F86BE0E-56CD-4829-860C-E05D53483800}" presName="hierChild7" presStyleCnt="0"/>
      <dgm:spPr/>
    </dgm:pt>
    <dgm:pt modelId="{3EB8CD5B-0479-4BCB-8E28-17A1D3F1AF90}" type="pres">
      <dgm:prSet presAssocID="{B6E6377C-8856-459B-882C-0728A4CA984E}" presName="hierChild3" presStyleCnt="0"/>
      <dgm:spPr/>
    </dgm:pt>
  </dgm:ptLst>
  <dgm:cxnLst>
    <dgm:cxn modelId="{30934006-3D7E-4070-B27A-F411ACF20739}" type="presOf" srcId="{082BF55F-605D-41C8-9E59-FD6F538A5FCD}" destId="{5BB97A68-9698-4E61-BC0B-E534F57CE5CE}" srcOrd="0" destOrd="0" presId="urn:microsoft.com/office/officeart/2005/8/layout/orgChart1"/>
    <dgm:cxn modelId="{022F4307-32E0-46CF-9137-232A26C32547}" type="presOf" srcId="{23E61A64-F252-4372-9444-49AFF7273963}" destId="{FA3D3ECE-15D2-4A68-9379-978115536618}" srcOrd="0" destOrd="0" presId="urn:microsoft.com/office/officeart/2005/8/layout/orgChart1"/>
    <dgm:cxn modelId="{3D577409-DD86-4F10-9330-78CC3DEF49B8}" type="presOf" srcId="{6658FE20-D10C-494D-937A-AB9D6192092B}" destId="{95208525-28FB-4F63-A0F9-A89A0AB5A900}" srcOrd="1" destOrd="0" presId="urn:microsoft.com/office/officeart/2005/8/layout/orgChart1"/>
    <dgm:cxn modelId="{1B3D1111-BF89-4C6A-BDA2-BE9E90AB3B4B}" type="presOf" srcId="{D67D0201-FD0D-4248-85D0-85BEBCE7F0EF}" destId="{342A60EC-A89E-46A5-AF65-E403B3F77A8B}" srcOrd="0" destOrd="0" presId="urn:microsoft.com/office/officeart/2005/8/layout/orgChart1"/>
    <dgm:cxn modelId="{B447221B-EC16-4DB9-81D5-2CEAB9A07F68}" type="presOf" srcId="{6658FE20-D10C-494D-937A-AB9D6192092B}" destId="{56D85FFE-5A4F-423B-9B92-2A493E61CD66}" srcOrd="0" destOrd="0" presId="urn:microsoft.com/office/officeart/2005/8/layout/orgChart1"/>
    <dgm:cxn modelId="{EB75991F-0D5B-4D8B-8D7C-0EF2B338105D}" type="presOf" srcId="{B6E6377C-8856-459B-882C-0728A4CA984E}" destId="{151675CC-A7E0-4372-AF43-37356CF156FC}" srcOrd="1" destOrd="0" presId="urn:microsoft.com/office/officeart/2005/8/layout/orgChart1"/>
    <dgm:cxn modelId="{E0FE0432-F7F3-4F64-8244-6241819B237A}" type="presOf" srcId="{6ADE0AD6-4CD4-4156-9A7C-DB5391DC3AB6}" destId="{2547C6E9-5236-47A9-8DDC-C380840498CB}" srcOrd="0" destOrd="0" presId="urn:microsoft.com/office/officeart/2005/8/layout/orgChart1"/>
    <dgm:cxn modelId="{C20AFE33-6A79-4350-8F55-790C6B3E8A59}" type="presOf" srcId="{A8CAE2B4-368A-4A91-AAB6-0BBE548311B2}" destId="{B6478012-BF97-4914-BA82-A7D743F0347B}" srcOrd="1" destOrd="0" presId="urn:microsoft.com/office/officeart/2005/8/layout/orgChart1"/>
    <dgm:cxn modelId="{A1E09B48-9361-4E88-9EB2-7FE951AF7CEA}" type="presOf" srcId="{D549988C-7342-4530-A40E-40D751CB3D10}" destId="{DE8E3A24-E236-4A40-96A8-AEA65D068BD6}" srcOrd="0" destOrd="0" presId="urn:microsoft.com/office/officeart/2005/8/layout/orgChart1"/>
    <dgm:cxn modelId="{E747F74A-5CB9-43CA-A623-7413262A55B0}" type="presOf" srcId="{BF3E5140-1C36-4D28-B6E2-D2D5BCA10784}" destId="{C680960E-887B-40FD-9E7A-811D1A83D365}" srcOrd="0" destOrd="0" presId="urn:microsoft.com/office/officeart/2005/8/layout/orgChart1"/>
    <dgm:cxn modelId="{EA542C57-DB93-4EBF-8D19-DCCD99A0E982}" srcId="{D67D0201-FD0D-4248-85D0-85BEBCE7F0EF}" destId="{23E61A64-F252-4372-9444-49AFF7273963}" srcOrd="1" destOrd="0" parTransId="{57A48BBD-4484-4C36-8E87-7EDB080042D2}" sibTransId="{D5F43B49-978D-4CDE-87CE-BB1A51F2A7A0}"/>
    <dgm:cxn modelId="{E758ED57-B203-45B8-927B-8B1435AB9CEA}" srcId="{23E61A64-F252-4372-9444-49AFF7273963}" destId="{6658FE20-D10C-494D-937A-AB9D6192092B}" srcOrd="0" destOrd="0" parTransId="{EB07B59B-1D5B-4AFE-9292-DC2F5AB5D439}" sibTransId="{5CB3E440-4E94-4EBF-8DF2-F902F5679C54}"/>
    <dgm:cxn modelId="{5AD2475E-464C-426E-AD41-A99D189293E0}" srcId="{D67D0201-FD0D-4248-85D0-85BEBCE7F0EF}" destId="{9F86BE0E-56CD-4829-860C-E05D53483800}" srcOrd="0" destOrd="0" parTransId="{082BF55F-605D-41C8-9E59-FD6F538A5FCD}" sibTransId="{3677F4F2-B4E3-4F09-B74C-60B9E8079FE7}"/>
    <dgm:cxn modelId="{340D2C77-75B3-49C8-8511-FA71DA438A38}" type="presOf" srcId="{57A48BBD-4484-4C36-8E87-7EDB080042D2}" destId="{8AEFE197-2775-4A92-9E21-1FDEDA974E92}" srcOrd="0" destOrd="0" presId="urn:microsoft.com/office/officeart/2005/8/layout/orgChart1"/>
    <dgm:cxn modelId="{BF6FF379-C75D-4F4D-B97A-862E37B526C9}" srcId="{6ADE0AD6-4CD4-4156-9A7C-DB5391DC3AB6}" destId="{B6E6377C-8856-459B-882C-0728A4CA984E}" srcOrd="0" destOrd="0" parTransId="{04E066B5-8AA6-4A8F-883B-3377B0433640}" sibTransId="{6B2D3581-2D99-4F87-963D-ABEE3D09E4BF}"/>
    <dgm:cxn modelId="{C58B9281-641C-4B92-B1CE-E5E2C593348F}" type="presOf" srcId="{A8CAE2B4-368A-4A91-AAB6-0BBE548311B2}" destId="{F17B9AE5-1FB6-4A38-A2BE-D77513DD1730}" srcOrd="0" destOrd="0" presId="urn:microsoft.com/office/officeart/2005/8/layout/orgChart1"/>
    <dgm:cxn modelId="{55B7A597-5F27-455E-B40B-60A9ADA6C035}" srcId="{B6E6377C-8856-459B-882C-0728A4CA984E}" destId="{D67D0201-FD0D-4248-85D0-85BEBCE7F0EF}" srcOrd="0" destOrd="0" parTransId="{BF3E5140-1C36-4D28-B6E2-D2D5BCA10784}" sibTransId="{2ABFBCE3-B9FB-4D29-AFCB-3F9B3E83E468}"/>
    <dgm:cxn modelId="{82009BA5-C857-4938-AAE9-C1BB381FDAF4}" type="presOf" srcId="{D67D0201-FD0D-4248-85D0-85BEBCE7F0EF}" destId="{72FB0025-81B5-4B9D-9EA3-A64D1E930EC3}" srcOrd="1" destOrd="0" presId="urn:microsoft.com/office/officeart/2005/8/layout/orgChart1"/>
    <dgm:cxn modelId="{4155D7C2-D35C-4530-9408-8FB466C7710D}" type="presOf" srcId="{9F86BE0E-56CD-4829-860C-E05D53483800}" destId="{252F2B27-9444-423E-8E3E-A678FC5B7FA7}" srcOrd="1" destOrd="0" presId="urn:microsoft.com/office/officeart/2005/8/layout/orgChart1"/>
    <dgm:cxn modelId="{790C62C3-1E96-4A4D-BB07-97A5CDF8F8B1}" srcId="{D67D0201-FD0D-4248-85D0-85BEBCE7F0EF}" destId="{A8CAE2B4-368A-4A91-AAB6-0BBE548311B2}" srcOrd="2" destOrd="0" parTransId="{D549988C-7342-4530-A40E-40D751CB3D10}" sibTransId="{7FECBE24-3AF1-4444-A071-9A2D93D94611}"/>
    <dgm:cxn modelId="{547828DC-ABE1-4218-A2A6-B221DCC5B318}" type="presOf" srcId="{23E61A64-F252-4372-9444-49AFF7273963}" destId="{200969E0-BFCC-4C11-B5A5-9448BF0C8EE3}" srcOrd="1" destOrd="0" presId="urn:microsoft.com/office/officeart/2005/8/layout/orgChart1"/>
    <dgm:cxn modelId="{32ED3EE1-59AC-4F33-B617-C5E28F3CE397}" type="presOf" srcId="{9F86BE0E-56CD-4829-860C-E05D53483800}" destId="{842A1DF2-1EC9-4DD4-BE0D-4B81E8E66E60}" srcOrd="0" destOrd="0" presId="urn:microsoft.com/office/officeart/2005/8/layout/orgChart1"/>
    <dgm:cxn modelId="{092CE2F5-BBBB-4570-BA0D-8E9156607161}" type="presOf" srcId="{B6E6377C-8856-459B-882C-0728A4CA984E}" destId="{4E9F8EAF-EBE7-4E4C-8FAD-A9D3EA273932}" srcOrd="0" destOrd="0" presId="urn:microsoft.com/office/officeart/2005/8/layout/orgChart1"/>
    <dgm:cxn modelId="{34DB15FE-B33A-4609-B3E3-76082BEA8CD6}" type="presOf" srcId="{EB07B59B-1D5B-4AFE-9292-DC2F5AB5D439}" destId="{2417157F-87EC-4131-835F-91523D0D6895}" srcOrd="0" destOrd="0" presId="urn:microsoft.com/office/officeart/2005/8/layout/orgChart1"/>
    <dgm:cxn modelId="{E61576F2-AE66-4D75-A17D-369488A27D05}" type="presParOf" srcId="{2547C6E9-5236-47A9-8DDC-C380840498CB}" destId="{F00225AD-3B78-4D23-ACAE-23F2AB7BDE0C}" srcOrd="0" destOrd="0" presId="urn:microsoft.com/office/officeart/2005/8/layout/orgChart1"/>
    <dgm:cxn modelId="{CFF279DB-CFAB-4774-9CC2-D09E25B29611}" type="presParOf" srcId="{F00225AD-3B78-4D23-ACAE-23F2AB7BDE0C}" destId="{4653A0AE-1BA7-492C-9ABC-A880265FD410}" srcOrd="0" destOrd="0" presId="urn:microsoft.com/office/officeart/2005/8/layout/orgChart1"/>
    <dgm:cxn modelId="{D6BA1AEC-1D71-4D8E-A233-DDD2AB137415}" type="presParOf" srcId="{4653A0AE-1BA7-492C-9ABC-A880265FD410}" destId="{4E9F8EAF-EBE7-4E4C-8FAD-A9D3EA273932}" srcOrd="0" destOrd="0" presId="urn:microsoft.com/office/officeart/2005/8/layout/orgChart1"/>
    <dgm:cxn modelId="{91461D64-B5B3-43D0-A47E-60FD507925C0}" type="presParOf" srcId="{4653A0AE-1BA7-492C-9ABC-A880265FD410}" destId="{151675CC-A7E0-4372-AF43-37356CF156FC}" srcOrd="1" destOrd="0" presId="urn:microsoft.com/office/officeart/2005/8/layout/orgChart1"/>
    <dgm:cxn modelId="{A68A9904-DE1C-4C42-9FD7-1B4206A910DD}" type="presParOf" srcId="{F00225AD-3B78-4D23-ACAE-23F2AB7BDE0C}" destId="{589FE08E-1D93-4203-AE29-21C22C89699B}" srcOrd="1" destOrd="0" presId="urn:microsoft.com/office/officeart/2005/8/layout/orgChart1"/>
    <dgm:cxn modelId="{161B7267-CE79-4422-B7DF-26F67EAA010D}" type="presParOf" srcId="{589FE08E-1D93-4203-AE29-21C22C89699B}" destId="{C680960E-887B-40FD-9E7A-811D1A83D365}" srcOrd="0" destOrd="0" presId="urn:microsoft.com/office/officeart/2005/8/layout/orgChart1"/>
    <dgm:cxn modelId="{B951CF4B-3DC1-43EC-AD95-FF70BCED6ECD}" type="presParOf" srcId="{589FE08E-1D93-4203-AE29-21C22C89699B}" destId="{453358D5-8FAF-4AE8-8ABC-E74D58A9312C}" srcOrd="1" destOrd="0" presId="urn:microsoft.com/office/officeart/2005/8/layout/orgChart1"/>
    <dgm:cxn modelId="{67591C57-C0F1-4CFB-BB5A-C54C5DE3C5CC}" type="presParOf" srcId="{453358D5-8FAF-4AE8-8ABC-E74D58A9312C}" destId="{CA2B4042-7CBD-497C-916B-F81AB9EAD3C1}" srcOrd="0" destOrd="0" presId="urn:microsoft.com/office/officeart/2005/8/layout/orgChart1"/>
    <dgm:cxn modelId="{BB6D61F6-C208-4BE2-B1B4-6B90F1E8B883}" type="presParOf" srcId="{CA2B4042-7CBD-497C-916B-F81AB9EAD3C1}" destId="{342A60EC-A89E-46A5-AF65-E403B3F77A8B}" srcOrd="0" destOrd="0" presId="urn:microsoft.com/office/officeart/2005/8/layout/orgChart1"/>
    <dgm:cxn modelId="{F091FB60-AB66-454F-9E79-1AD88353022F}" type="presParOf" srcId="{CA2B4042-7CBD-497C-916B-F81AB9EAD3C1}" destId="{72FB0025-81B5-4B9D-9EA3-A64D1E930EC3}" srcOrd="1" destOrd="0" presId="urn:microsoft.com/office/officeart/2005/8/layout/orgChart1"/>
    <dgm:cxn modelId="{33AF9FC0-72F4-4B9E-8B4C-8B37FE5338FC}" type="presParOf" srcId="{453358D5-8FAF-4AE8-8ABC-E74D58A9312C}" destId="{3B833641-4965-4A0C-BF40-F845A2AD2C36}" srcOrd="1" destOrd="0" presId="urn:microsoft.com/office/officeart/2005/8/layout/orgChart1"/>
    <dgm:cxn modelId="{436ACDA6-6E0D-4F22-885A-9CBE116AF47E}" type="presParOf" srcId="{3B833641-4965-4A0C-BF40-F845A2AD2C36}" destId="{8AEFE197-2775-4A92-9E21-1FDEDA974E92}" srcOrd="0" destOrd="0" presId="urn:microsoft.com/office/officeart/2005/8/layout/orgChart1"/>
    <dgm:cxn modelId="{181D5539-5038-47E2-B8D5-1A82BD5BF46E}" type="presParOf" srcId="{3B833641-4965-4A0C-BF40-F845A2AD2C36}" destId="{ECB01153-DB8C-4E72-8D24-BBF5E771B780}" srcOrd="1" destOrd="0" presId="urn:microsoft.com/office/officeart/2005/8/layout/orgChart1"/>
    <dgm:cxn modelId="{3E4D1999-ADDD-4717-B578-3F2C5A983DB1}" type="presParOf" srcId="{ECB01153-DB8C-4E72-8D24-BBF5E771B780}" destId="{BCE52C15-D3C0-4292-B892-E72413B6FADB}" srcOrd="0" destOrd="0" presId="urn:microsoft.com/office/officeart/2005/8/layout/orgChart1"/>
    <dgm:cxn modelId="{F1D0AE72-B0D3-4D34-8E5E-149E7416E8A5}" type="presParOf" srcId="{BCE52C15-D3C0-4292-B892-E72413B6FADB}" destId="{FA3D3ECE-15D2-4A68-9379-978115536618}" srcOrd="0" destOrd="0" presId="urn:microsoft.com/office/officeart/2005/8/layout/orgChart1"/>
    <dgm:cxn modelId="{DEC6C27C-38B4-45BD-A6C9-FC2ACD97011F}" type="presParOf" srcId="{BCE52C15-D3C0-4292-B892-E72413B6FADB}" destId="{200969E0-BFCC-4C11-B5A5-9448BF0C8EE3}" srcOrd="1" destOrd="0" presId="urn:microsoft.com/office/officeart/2005/8/layout/orgChart1"/>
    <dgm:cxn modelId="{4B3AB3C2-845F-4866-A8C1-28724462FDF5}" type="presParOf" srcId="{ECB01153-DB8C-4E72-8D24-BBF5E771B780}" destId="{6CA1A9A6-8C27-43F8-9351-2E8D5B8FD5D9}" srcOrd="1" destOrd="0" presId="urn:microsoft.com/office/officeart/2005/8/layout/orgChart1"/>
    <dgm:cxn modelId="{665075E8-865A-4ADB-8FF5-B780F665FC1A}" type="presParOf" srcId="{6CA1A9A6-8C27-43F8-9351-2E8D5B8FD5D9}" destId="{2417157F-87EC-4131-835F-91523D0D6895}" srcOrd="0" destOrd="0" presId="urn:microsoft.com/office/officeart/2005/8/layout/orgChart1"/>
    <dgm:cxn modelId="{D2FFE7C6-8959-466C-B4D7-1CCBB3ABA712}" type="presParOf" srcId="{6CA1A9A6-8C27-43F8-9351-2E8D5B8FD5D9}" destId="{7113EAF9-BA1E-4039-BCB4-373589B8CE66}" srcOrd="1" destOrd="0" presId="urn:microsoft.com/office/officeart/2005/8/layout/orgChart1"/>
    <dgm:cxn modelId="{7447AA4C-DC0C-428B-9A3C-ED25ECC45DE0}" type="presParOf" srcId="{7113EAF9-BA1E-4039-BCB4-373589B8CE66}" destId="{FD723580-53EE-44D9-81C3-4AB972C00BD7}" srcOrd="0" destOrd="0" presId="urn:microsoft.com/office/officeart/2005/8/layout/orgChart1"/>
    <dgm:cxn modelId="{D2156934-6981-4DA2-B513-59EE3FB4987B}" type="presParOf" srcId="{FD723580-53EE-44D9-81C3-4AB972C00BD7}" destId="{56D85FFE-5A4F-423B-9B92-2A493E61CD66}" srcOrd="0" destOrd="0" presId="urn:microsoft.com/office/officeart/2005/8/layout/orgChart1"/>
    <dgm:cxn modelId="{C78E72B4-DA40-41CC-887F-14E1F7DD7D36}" type="presParOf" srcId="{FD723580-53EE-44D9-81C3-4AB972C00BD7}" destId="{95208525-28FB-4F63-A0F9-A89A0AB5A900}" srcOrd="1" destOrd="0" presId="urn:microsoft.com/office/officeart/2005/8/layout/orgChart1"/>
    <dgm:cxn modelId="{57972CA9-CE9C-4531-B3F5-208A8B699AE8}" type="presParOf" srcId="{7113EAF9-BA1E-4039-BCB4-373589B8CE66}" destId="{5B7EEE1C-2F19-46DA-9BBC-6CF3A423847F}" srcOrd="1" destOrd="0" presId="urn:microsoft.com/office/officeart/2005/8/layout/orgChart1"/>
    <dgm:cxn modelId="{60C9B1DC-E391-461C-B0BE-BCA670484AC1}" type="presParOf" srcId="{7113EAF9-BA1E-4039-BCB4-373589B8CE66}" destId="{0122067A-2DFC-431A-BE0A-4E34F5833522}" srcOrd="2" destOrd="0" presId="urn:microsoft.com/office/officeart/2005/8/layout/orgChart1"/>
    <dgm:cxn modelId="{2D694F93-8688-46FF-855D-079B7B0CB8AB}" type="presParOf" srcId="{ECB01153-DB8C-4E72-8D24-BBF5E771B780}" destId="{5A7431F9-D91A-4298-9DF4-D21DCCBBB7A7}" srcOrd="2" destOrd="0" presId="urn:microsoft.com/office/officeart/2005/8/layout/orgChart1"/>
    <dgm:cxn modelId="{58BD4979-F538-493D-8760-A1BA7AC8B71D}" type="presParOf" srcId="{3B833641-4965-4A0C-BF40-F845A2AD2C36}" destId="{DE8E3A24-E236-4A40-96A8-AEA65D068BD6}" srcOrd="2" destOrd="0" presId="urn:microsoft.com/office/officeart/2005/8/layout/orgChart1"/>
    <dgm:cxn modelId="{732AB639-5DA0-4572-808F-6646E751F6AE}" type="presParOf" srcId="{3B833641-4965-4A0C-BF40-F845A2AD2C36}" destId="{B0F97B1E-667C-4997-9031-4D55DE2F04D0}" srcOrd="3" destOrd="0" presId="urn:microsoft.com/office/officeart/2005/8/layout/orgChart1"/>
    <dgm:cxn modelId="{580A0618-2176-4E33-8C2A-55659C227C08}" type="presParOf" srcId="{B0F97B1E-667C-4997-9031-4D55DE2F04D0}" destId="{1505D128-C1D6-435E-B04A-88AC81558916}" srcOrd="0" destOrd="0" presId="urn:microsoft.com/office/officeart/2005/8/layout/orgChart1"/>
    <dgm:cxn modelId="{50FF2A90-F917-4868-ACB9-FF38523E77F9}" type="presParOf" srcId="{1505D128-C1D6-435E-B04A-88AC81558916}" destId="{F17B9AE5-1FB6-4A38-A2BE-D77513DD1730}" srcOrd="0" destOrd="0" presId="urn:microsoft.com/office/officeart/2005/8/layout/orgChart1"/>
    <dgm:cxn modelId="{C0B0C6F6-AC65-4D9D-AE49-5DD337D17D10}" type="presParOf" srcId="{1505D128-C1D6-435E-B04A-88AC81558916}" destId="{B6478012-BF97-4914-BA82-A7D743F0347B}" srcOrd="1" destOrd="0" presId="urn:microsoft.com/office/officeart/2005/8/layout/orgChart1"/>
    <dgm:cxn modelId="{B9925D18-EA2F-4823-8734-D732307374A0}" type="presParOf" srcId="{B0F97B1E-667C-4997-9031-4D55DE2F04D0}" destId="{00CBD2E4-7128-49E5-86F9-CAFDCCCCA5E2}" srcOrd="1" destOrd="0" presId="urn:microsoft.com/office/officeart/2005/8/layout/orgChart1"/>
    <dgm:cxn modelId="{BBE37355-F9F5-4933-AD6B-C364D987B768}" type="presParOf" srcId="{B0F97B1E-667C-4997-9031-4D55DE2F04D0}" destId="{6A8F960C-E373-4206-9BDA-267232924764}" srcOrd="2" destOrd="0" presId="urn:microsoft.com/office/officeart/2005/8/layout/orgChart1"/>
    <dgm:cxn modelId="{2A143F72-876F-43FC-96F8-BA4B5D02F6A7}" type="presParOf" srcId="{453358D5-8FAF-4AE8-8ABC-E74D58A9312C}" destId="{CF6B365A-7FD6-4BA8-9B34-A0B78986A33F}" srcOrd="2" destOrd="0" presId="urn:microsoft.com/office/officeart/2005/8/layout/orgChart1"/>
    <dgm:cxn modelId="{518924E9-022D-4146-9833-B03B27407DEE}" type="presParOf" srcId="{CF6B365A-7FD6-4BA8-9B34-A0B78986A33F}" destId="{5BB97A68-9698-4E61-BC0B-E534F57CE5CE}" srcOrd="0" destOrd="0" presId="urn:microsoft.com/office/officeart/2005/8/layout/orgChart1"/>
    <dgm:cxn modelId="{98B39C22-4BF2-4477-BDB8-7A788FD266D0}" type="presParOf" srcId="{CF6B365A-7FD6-4BA8-9B34-A0B78986A33F}" destId="{C7470783-9F06-4286-BC56-F87C5E520DF1}" srcOrd="1" destOrd="0" presId="urn:microsoft.com/office/officeart/2005/8/layout/orgChart1"/>
    <dgm:cxn modelId="{4523191F-8437-4249-B81D-C146C7FC5BA1}" type="presParOf" srcId="{C7470783-9F06-4286-BC56-F87C5E520DF1}" destId="{8A5C8656-16E0-42F4-9C39-C18F551774EE}" srcOrd="0" destOrd="0" presId="urn:microsoft.com/office/officeart/2005/8/layout/orgChart1"/>
    <dgm:cxn modelId="{74A473DA-2F7B-4E5C-8998-A289C853ACE8}" type="presParOf" srcId="{8A5C8656-16E0-42F4-9C39-C18F551774EE}" destId="{842A1DF2-1EC9-4DD4-BE0D-4B81E8E66E60}" srcOrd="0" destOrd="0" presId="urn:microsoft.com/office/officeart/2005/8/layout/orgChart1"/>
    <dgm:cxn modelId="{524DB69D-79A8-4694-8681-789A52D4D67E}" type="presParOf" srcId="{8A5C8656-16E0-42F4-9C39-C18F551774EE}" destId="{252F2B27-9444-423E-8E3E-A678FC5B7FA7}" srcOrd="1" destOrd="0" presId="urn:microsoft.com/office/officeart/2005/8/layout/orgChart1"/>
    <dgm:cxn modelId="{E59B9582-8EDB-49CB-B404-164B4B5B541A}" type="presParOf" srcId="{C7470783-9F06-4286-BC56-F87C5E520DF1}" destId="{DD8011CD-F445-44B1-BD1C-A99EB8C3FD10}" srcOrd="1" destOrd="0" presId="urn:microsoft.com/office/officeart/2005/8/layout/orgChart1"/>
    <dgm:cxn modelId="{B37BA245-28C7-4B03-8298-6DA293ECEB5E}" type="presParOf" srcId="{C7470783-9F06-4286-BC56-F87C5E520DF1}" destId="{EDB11DFC-2ABD-427B-8AA3-2415890F42E6}" srcOrd="2" destOrd="0" presId="urn:microsoft.com/office/officeart/2005/8/layout/orgChart1"/>
    <dgm:cxn modelId="{5B1F1521-FA5F-475D-87CB-84E8DB3499CD}" type="presParOf" srcId="{F00225AD-3B78-4D23-ACAE-23F2AB7BDE0C}" destId="{3EB8CD5B-0479-4BCB-8E28-17A1D3F1AF90}" srcOrd="2" destOrd="0" presId="urn:microsoft.com/office/officeart/2005/8/layout/orgChart1"/>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BB97A68-9698-4E61-BC0B-E534F57CE5CE}">
      <dsp:nvSpPr>
        <dsp:cNvPr id="0" name=""/>
        <dsp:cNvSpPr/>
      </dsp:nvSpPr>
      <dsp:spPr>
        <a:xfrm>
          <a:off x="1328072" y="1269661"/>
          <a:ext cx="101428" cy="444874"/>
        </a:xfrm>
        <a:custGeom>
          <a:avLst/>
          <a:gdLst/>
          <a:ahLst/>
          <a:cxnLst/>
          <a:rect l="0" t="0" r="0" b="0"/>
          <a:pathLst>
            <a:path>
              <a:moveTo>
                <a:pt x="101428" y="0"/>
              </a:moveTo>
              <a:lnTo>
                <a:pt x="101428" y="444874"/>
              </a:lnTo>
              <a:lnTo>
                <a:pt x="0" y="444874"/>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DE8E3A24-E236-4A40-96A8-AEA65D068BD6}">
      <dsp:nvSpPr>
        <dsp:cNvPr id="0" name=""/>
        <dsp:cNvSpPr/>
      </dsp:nvSpPr>
      <dsp:spPr>
        <a:xfrm>
          <a:off x="1429500" y="1269661"/>
          <a:ext cx="584419" cy="889748"/>
        </a:xfrm>
        <a:custGeom>
          <a:avLst/>
          <a:gdLst/>
          <a:ahLst/>
          <a:cxnLst/>
          <a:rect l="0" t="0" r="0" b="0"/>
          <a:pathLst>
            <a:path>
              <a:moveTo>
                <a:pt x="0" y="0"/>
              </a:moveTo>
              <a:lnTo>
                <a:pt x="0" y="788319"/>
              </a:lnTo>
              <a:lnTo>
                <a:pt x="584419" y="788319"/>
              </a:lnTo>
              <a:lnTo>
                <a:pt x="584419" y="889748"/>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2417157F-87EC-4131-835F-91523D0D6895}">
      <dsp:nvSpPr>
        <dsp:cNvPr id="0" name=""/>
        <dsp:cNvSpPr/>
      </dsp:nvSpPr>
      <dsp:spPr>
        <a:xfrm>
          <a:off x="458687" y="2642401"/>
          <a:ext cx="144897" cy="444352"/>
        </a:xfrm>
        <a:custGeom>
          <a:avLst/>
          <a:gdLst/>
          <a:ahLst/>
          <a:cxnLst/>
          <a:rect l="0" t="0" r="0" b="0"/>
          <a:pathLst>
            <a:path>
              <a:moveTo>
                <a:pt x="0" y="0"/>
              </a:moveTo>
              <a:lnTo>
                <a:pt x="0" y="444352"/>
              </a:lnTo>
              <a:lnTo>
                <a:pt x="144897" y="444352"/>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8AEFE197-2775-4A92-9E21-1FDEDA974E92}">
      <dsp:nvSpPr>
        <dsp:cNvPr id="0" name=""/>
        <dsp:cNvSpPr/>
      </dsp:nvSpPr>
      <dsp:spPr>
        <a:xfrm>
          <a:off x="845080" y="1269661"/>
          <a:ext cx="584419" cy="889748"/>
        </a:xfrm>
        <a:custGeom>
          <a:avLst/>
          <a:gdLst/>
          <a:ahLst/>
          <a:cxnLst/>
          <a:rect l="0" t="0" r="0" b="0"/>
          <a:pathLst>
            <a:path>
              <a:moveTo>
                <a:pt x="584419" y="0"/>
              </a:moveTo>
              <a:lnTo>
                <a:pt x="584419" y="788319"/>
              </a:lnTo>
              <a:lnTo>
                <a:pt x="0" y="788319"/>
              </a:lnTo>
              <a:lnTo>
                <a:pt x="0" y="889748"/>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C680960E-887B-40FD-9E7A-811D1A83D365}">
      <dsp:nvSpPr>
        <dsp:cNvPr id="0" name=""/>
        <dsp:cNvSpPr/>
      </dsp:nvSpPr>
      <dsp:spPr>
        <a:xfrm>
          <a:off x="1383780" y="484046"/>
          <a:ext cx="91440" cy="202856"/>
        </a:xfrm>
        <a:custGeom>
          <a:avLst/>
          <a:gdLst/>
          <a:ahLst/>
          <a:cxnLst/>
          <a:rect l="0" t="0" r="0" b="0"/>
          <a:pathLst>
            <a:path>
              <a:moveTo>
                <a:pt x="45720" y="0"/>
              </a:moveTo>
              <a:lnTo>
                <a:pt x="45720" y="202856"/>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sp>
    <dsp:sp modelId="{4E9F8EAF-EBE7-4E4C-8FAD-A9D3EA273932}">
      <dsp:nvSpPr>
        <dsp:cNvPr id="0" name=""/>
        <dsp:cNvSpPr/>
      </dsp:nvSpPr>
      <dsp:spPr>
        <a:xfrm>
          <a:off x="946508" y="1055"/>
          <a:ext cx="965983" cy="482991"/>
        </a:xfrm>
        <a:prstGeom prst="rect">
          <a:avLst/>
        </a:prstGeom>
        <a:solidFill>
          <a:schemeClr val="bg1"/>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GB" sz="1200" kern="1200">
              <a:solidFill>
                <a:sysClr val="windowText" lastClr="000000"/>
              </a:solidFill>
            </a:rPr>
            <a:t>Assessed for Eligibilty</a:t>
          </a:r>
        </a:p>
        <a:p>
          <a:pPr marL="0" lvl="0" indent="0" algn="ctr" defTabSz="533400">
            <a:lnSpc>
              <a:spcPct val="90000"/>
            </a:lnSpc>
            <a:spcBef>
              <a:spcPct val="0"/>
            </a:spcBef>
            <a:spcAft>
              <a:spcPct val="35000"/>
            </a:spcAft>
            <a:buNone/>
          </a:pPr>
          <a:r>
            <a:rPr lang="en-GB" sz="1200" kern="1200">
              <a:solidFill>
                <a:sysClr val="windowText" lastClr="000000"/>
              </a:solidFill>
            </a:rPr>
            <a:t> 1511</a:t>
          </a:r>
        </a:p>
      </dsp:txBody>
      <dsp:txXfrm>
        <a:off x="946508" y="1055"/>
        <a:ext cx="965983" cy="482991"/>
      </dsp:txXfrm>
    </dsp:sp>
    <dsp:sp modelId="{342A60EC-A89E-46A5-AF65-E403B3F77A8B}">
      <dsp:nvSpPr>
        <dsp:cNvPr id="0" name=""/>
        <dsp:cNvSpPr/>
      </dsp:nvSpPr>
      <dsp:spPr>
        <a:xfrm>
          <a:off x="861627" y="686903"/>
          <a:ext cx="1135745" cy="582758"/>
        </a:xfrm>
        <a:prstGeom prst="rect">
          <a:avLst/>
        </a:prstGeom>
        <a:solidFill>
          <a:schemeClr val="bg1"/>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GB" sz="1200" kern="1200">
              <a:solidFill>
                <a:sysClr val="windowText" lastClr="000000"/>
              </a:solidFill>
            </a:rPr>
            <a:t>Selected</a:t>
          </a:r>
          <a:r>
            <a:rPr lang="en-GB" sz="1400" kern="1200">
              <a:solidFill>
                <a:sysClr val="windowText" lastClr="000000"/>
              </a:solidFill>
            </a:rPr>
            <a:t> </a:t>
          </a:r>
          <a:r>
            <a:rPr lang="en-GB" sz="1200" kern="1200">
              <a:solidFill>
                <a:sysClr val="windowText" lastClr="000000"/>
              </a:solidFill>
            </a:rPr>
            <a:t>and approached</a:t>
          </a:r>
        </a:p>
        <a:p>
          <a:pPr marL="0" lvl="0" indent="0" algn="ctr" defTabSz="533400">
            <a:lnSpc>
              <a:spcPct val="90000"/>
            </a:lnSpc>
            <a:spcBef>
              <a:spcPct val="0"/>
            </a:spcBef>
            <a:spcAft>
              <a:spcPct val="35000"/>
            </a:spcAft>
            <a:buNone/>
          </a:pPr>
          <a:r>
            <a:rPr lang="en-GB" sz="1200" kern="1200">
              <a:solidFill>
                <a:sysClr val="windowText" lastClr="000000"/>
              </a:solidFill>
            </a:rPr>
            <a:t>360</a:t>
          </a:r>
        </a:p>
      </dsp:txBody>
      <dsp:txXfrm>
        <a:off x="861627" y="686903"/>
        <a:ext cx="1135745" cy="582758"/>
      </dsp:txXfrm>
    </dsp:sp>
    <dsp:sp modelId="{FA3D3ECE-15D2-4A68-9379-978115536618}">
      <dsp:nvSpPr>
        <dsp:cNvPr id="0" name=""/>
        <dsp:cNvSpPr/>
      </dsp:nvSpPr>
      <dsp:spPr>
        <a:xfrm>
          <a:off x="362088" y="2159409"/>
          <a:ext cx="965983" cy="482991"/>
        </a:xfrm>
        <a:prstGeom prst="rect">
          <a:avLst/>
        </a:prstGeom>
        <a:solidFill>
          <a:schemeClr val="bg1"/>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GB" sz="1200" kern="1200">
              <a:solidFill>
                <a:sysClr val="windowText" lastClr="000000"/>
              </a:solidFill>
            </a:rPr>
            <a:t>Interviewed</a:t>
          </a:r>
        </a:p>
        <a:p>
          <a:pPr marL="0" lvl="0" indent="0" algn="ctr" defTabSz="533400">
            <a:lnSpc>
              <a:spcPct val="90000"/>
            </a:lnSpc>
            <a:spcBef>
              <a:spcPct val="0"/>
            </a:spcBef>
            <a:spcAft>
              <a:spcPct val="35000"/>
            </a:spcAft>
            <a:buNone/>
          </a:pPr>
          <a:r>
            <a:rPr lang="en-GB" sz="1200" kern="1200">
              <a:solidFill>
                <a:sysClr val="windowText" lastClr="000000"/>
              </a:solidFill>
            </a:rPr>
            <a:t>327</a:t>
          </a:r>
        </a:p>
      </dsp:txBody>
      <dsp:txXfrm>
        <a:off x="362088" y="2159409"/>
        <a:ext cx="965983" cy="482991"/>
      </dsp:txXfrm>
    </dsp:sp>
    <dsp:sp modelId="{56D85FFE-5A4F-423B-9B92-2A493E61CD66}">
      <dsp:nvSpPr>
        <dsp:cNvPr id="0" name=""/>
        <dsp:cNvSpPr/>
      </dsp:nvSpPr>
      <dsp:spPr>
        <a:xfrm>
          <a:off x="603584" y="2845258"/>
          <a:ext cx="965983" cy="482991"/>
        </a:xfrm>
        <a:prstGeom prst="rect">
          <a:avLst/>
        </a:prstGeom>
        <a:solidFill>
          <a:schemeClr val="bg1"/>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GB" sz="1200" kern="1200">
              <a:solidFill>
                <a:sysClr val="windowText" lastClr="000000"/>
              </a:solidFill>
            </a:rPr>
            <a:t>Analysed</a:t>
          </a:r>
        </a:p>
        <a:p>
          <a:pPr marL="0" lvl="0" indent="0" algn="ctr" defTabSz="533400">
            <a:lnSpc>
              <a:spcPct val="90000"/>
            </a:lnSpc>
            <a:spcBef>
              <a:spcPct val="0"/>
            </a:spcBef>
            <a:spcAft>
              <a:spcPct val="35000"/>
            </a:spcAft>
            <a:buNone/>
          </a:pPr>
          <a:r>
            <a:rPr lang="en-GB" sz="1200" kern="1200">
              <a:solidFill>
                <a:sysClr val="windowText" lastClr="000000"/>
              </a:solidFill>
            </a:rPr>
            <a:t>320</a:t>
          </a:r>
        </a:p>
      </dsp:txBody>
      <dsp:txXfrm>
        <a:off x="603584" y="2845258"/>
        <a:ext cx="965983" cy="482991"/>
      </dsp:txXfrm>
    </dsp:sp>
    <dsp:sp modelId="{F17B9AE5-1FB6-4A38-A2BE-D77513DD1730}">
      <dsp:nvSpPr>
        <dsp:cNvPr id="0" name=""/>
        <dsp:cNvSpPr/>
      </dsp:nvSpPr>
      <dsp:spPr>
        <a:xfrm>
          <a:off x="1530928" y="2159409"/>
          <a:ext cx="965983" cy="482991"/>
        </a:xfrm>
        <a:prstGeom prst="rect">
          <a:avLst/>
        </a:prstGeom>
        <a:solidFill>
          <a:schemeClr val="bg1"/>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GB" sz="1200" kern="1200">
              <a:solidFill>
                <a:sysClr val="windowText" lastClr="000000"/>
              </a:solidFill>
            </a:rPr>
            <a:t>Incomplete information</a:t>
          </a:r>
        </a:p>
        <a:p>
          <a:pPr marL="0" lvl="0" indent="0" algn="ctr" defTabSz="533400">
            <a:lnSpc>
              <a:spcPct val="90000"/>
            </a:lnSpc>
            <a:spcBef>
              <a:spcPct val="0"/>
            </a:spcBef>
            <a:spcAft>
              <a:spcPct val="35000"/>
            </a:spcAft>
            <a:buNone/>
          </a:pPr>
          <a:r>
            <a:rPr lang="en-GB" sz="1200" kern="1200">
              <a:solidFill>
                <a:sysClr val="windowText" lastClr="000000"/>
              </a:solidFill>
            </a:rPr>
            <a:t> 7 excluded</a:t>
          </a:r>
        </a:p>
      </dsp:txBody>
      <dsp:txXfrm>
        <a:off x="1530928" y="2159409"/>
        <a:ext cx="965983" cy="482991"/>
      </dsp:txXfrm>
    </dsp:sp>
    <dsp:sp modelId="{842A1DF2-1EC9-4DD4-BE0D-4B81E8E66E60}">
      <dsp:nvSpPr>
        <dsp:cNvPr id="0" name=""/>
        <dsp:cNvSpPr/>
      </dsp:nvSpPr>
      <dsp:spPr>
        <a:xfrm>
          <a:off x="119066" y="1472518"/>
          <a:ext cx="1209005" cy="484034"/>
        </a:xfrm>
        <a:prstGeom prst="rect">
          <a:avLst/>
        </a:prstGeom>
        <a:solidFill>
          <a:schemeClr val="bg1"/>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GB" sz="1400" kern="1200">
              <a:solidFill>
                <a:sysClr val="windowText" lastClr="000000"/>
              </a:solidFill>
            </a:rPr>
            <a:t>Inel</a:t>
          </a:r>
          <a:r>
            <a:rPr lang="en-GB" sz="1200" kern="1200">
              <a:solidFill>
                <a:sysClr val="windowText" lastClr="000000"/>
              </a:solidFill>
            </a:rPr>
            <a:t>igible</a:t>
          </a:r>
        </a:p>
        <a:p>
          <a:pPr marL="0" lvl="0" indent="0" algn="ctr" defTabSz="622300">
            <a:lnSpc>
              <a:spcPct val="90000"/>
            </a:lnSpc>
            <a:spcBef>
              <a:spcPct val="0"/>
            </a:spcBef>
            <a:spcAft>
              <a:spcPct val="35000"/>
            </a:spcAft>
            <a:buNone/>
          </a:pPr>
          <a:r>
            <a:rPr lang="en-GB" sz="1200" kern="1200">
              <a:solidFill>
                <a:sysClr val="windowText" lastClr="000000"/>
              </a:solidFill>
            </a:rPr>
            <a:t>no consent: 33</a:t>
          </a:r>
          <a:r>
            <a:rPr lang="en-GB" sz="1400" kern="1200">
              <a:solidFill>
                <a:sysClr val="windowText" lastClr="000000"/>
              </a:solidFill>
            </a:rPr>
            <a:t> </a:t>
          </a:r>
        </a:p>
      </dsp:txBody>
      <dsp:txXfrm>
        <a:off x="119066" y="1472518"/>
        <a:ext cx="1209005" cy="48403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25156</Words>
  <Characters>143394</Characters>
  <Application>Microsoft Office Word</Application>
  <DocSecurity>0</DocSecurity>
  <Lines>1194</Lines>
  <Paragraphs>336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2026-04-06T07:51:00Z</dcterms:created>
  <dcterms:modified xsi:type="dcterms:W3CDTF">2026-04-06T07:52:00Z</dcterms:modified>
</cp:coreProperties>
</file>